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media/image1.png" ContentType="image/png"/>
  <Override PartName="/word/media/image2.png" ContentType="image/png"/>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rPr/>
      </w:pPr>
      <w:r>
        <w:rPr/>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t>Condiciones Generales de Participación</w:t>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r>
    </w:p>
    <w:p>
      <w:p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t>Modalidad</w:t>
      </w:r>
    </w:p>
    <w:p>
      <w:pPr>
        <w:sectPr>
          <w:footerReference w:type="default" r:id="rId2"/>
          <w:type w:val="nextPage"/>
          <w:pgSz w:w="12240" w:h="15840"/>
          <w:pgMar w:left="1480" w:right="1300" w:header="0" w:top="1500" w:footer="720" w:bottom="777" w:gutter="0"/>
          <w:pgNumType w:start="0" w:fmt="decimal"/>
          <w:formProt w:val="false"/>
          <w:textDirection w:val="lrTb"/>
          <w:docGrid w:type="default" w:linePitch="100" w:charSpace="4096"/>
        </w:sectPr>
        <w:pStyle w:val="Normal"/>
        <w:pBdr/>
        <w:spacing w:before="4" w:after="0"/>
        <w:jc w:val="center"/>
        <w:rPr>
          <w:rFonts w:ascii="Lexend" w:hAnsi="Lexend" w:eastAsia="Lexend" w:cs="Lexend"/>
          <w:b/>
          <w:b/>
          <w:color w:val="EC52C1"/>
          <w:sz w:val="32"/>
          <w:szCs w:val="32"/>
        </w:rPr>
      </w:pPr>
      <w:r>
        <w:rPr>
          <w:rFonts w:eastAsia="Lexend" w:cs="Lexend" w:ascii="Lexend" w:hAnsi="Lexend"/>
          <w:b/>
          <w:color w:val="EC52C1"/>
          <w:sz w:val="32"/>
          <w:szCs w:val="32"/>
        </w:rPr>
        <w:t>Proyectos Locales e interlocales</w:t>
      </w:r>
    </w:p>
    <w:p>
      <w:pPr>
        <w:pStyle w:val="Normal"/>
        <w:spacing w:before="100" w:after="0"/>
        <w:ind w:left="221" w:hanging="0"/>
        <w:rPr>
          <w:rFonts w:ascii="Tahoma" w:hAnsi="Tahoma" w:eastAsia="Tahoma" w:cs="Tahoma"/>
          <w:b/>
          <w:b/>
        </w:rPr>
      </w:pPr>
      <w:r>
        <w:rPr>
          <w:rFonts w:eastAsia="Tahoma" w:cs="Tahoma" w:ascii="Tahoma" w:hAnsi="Tahoma"/>
          <w:b/>
          <w:color w:val="372362"/>
          <w:sz w:val="40"/>
          <w:szCs w:val="40"/>
        </w:rPr>
        <w:t xml:space="preserve">TABLA DE </w:t>
      </w:r>
      <w:r>
        <w:rPr>
          <w:rFonts w:eastAsia="Tahoma" w:cs="Tahoma" w:ascii="Tahoma" w:hAnsi="Tahoma"/>
          <w:b/>
          <w:color w:val="F150D4"/>
          <w:sz w:val="40"/>
          <w:szCs w:val="40"/>
        </w:rPr>
        <w:t>CONTENIDO</w:t>
      </w:r>
    </w:p>
    <w:p>
      <w:pPr>
        <w:pStyle w:val="Normal"/>
        <w:pBdr/>
        <w:rPr>
          <w:rFonts w:ascii="Tahoma" w:hAnsi="Tahoma" w:eastAsia="Tahoma" w:cs="Tahoma"/>
          <w:b/>
          <w:b/>
          <w:color w:val="000000"/>
        </w:rPr>
      </w:pPr>
      <w:r>
        <w:rPr>
          <w:rFonts w:eastAsia="Tahoma" w:cs="Tahoma" w:ascii="Tahoma" w:hAnsi="Tahoma"/>
          <w:b/>
          <w:color w:val="000000"/>
        </w:rPr>
      </w:r>
    </w:p>
    <w:p>
      <w:pPr>
        <w:pStyle w:val="Normal"/>
        <w:numPr>
          <w:ilvl w:val="0"/>
          <w:numId w:val="10"/>
        </w:numPr>
        <w:pBdr/>
        <w:tabs>
          <w:tab w:val="clear" w:pos="720"/>
          <w:tab w:val="left" w:pos="475" w:leader="none"/>
          <w:tab w:val="left" w:pos="8936" w:leader="none"/>
        </w:tabs>
        <w:jc w:val="both"/>
        <w:rPr>
          <w:rFonts w:ascii="Arial" w:hAnsi="Arial" w:eastAsia="Arial" w:cs="Arial"/>
          <w:b/>
          <w:b/>
          <w:color w:val="000000"/>
        </w:rPr>
      </w:pPr>
      <w:r>
        <w:rPr>
          <w:rFonts w:eastAsia="Tahoma" w:cs="Tahoma" w:ascii="Tahoma" w:hAnsi="Tahoma"/>
          <w:b/>
          <w:color w:val="372162"/>
        </w:rPr>
        <w:t>I</w:t>
      </w:r>
      <w:r>
        <w:rPr>
          <w:rFonts w:eastAsia="Tahoma" w:cs="Tahoma" w:ascii="Tahoma" w:hAnsi="Tahoma"/>
          <w:b/>
          <w:color w:val="372162"/>
          <w:sz w:val="15"/>
          <w:szCs w:val="15"/>
        </w:rPr>
        <w:t>NTRODUCCIÓN</w:t>
      </w:r>
      <w:r>
        <w:rPr>
          <w:rFonts w:eastAsia="Times New Roman" w:cs="Times New Roman" w:ascii="Times New Roman" w:hAnsi="Times New Roman"/>
          <w:b/>
          <w:color w:val="372162"/>
          <w:sz w:val="15"/>
          <w:szCs w:val="15"/>
        </w:rPr>
        <w:tab/>
      </w:r>
      <w:r>
        <w:rPr>
          <w:rFonts w:eastAsia="Arial" w:cs="Arial" w:ascii="Arial" w:hAnsi="Arial"/>
          <w:b/>
          <w:color w:val="000000"/>
        </w:rPr>
        <w:t>2</w:t>
      </w:r>
    </w:p>
    <w:p>
      <w:pPr>
        <w:pStyle w:val="Normal"/>
        <w:numPr>
          <w:ilvl w:val="0"/>
          <w:numId w:val="10"/>
        </w:numPr>
        <w:pBdr/>
        <w:tabs>
          <w:tab w:val="clear" w:pos="720"/>
          <w:tab w:val="left" w:pos="469" w:leader="none"/>
          <w:tab w:val="left" w:pos="8927" w:leader="none"/>
        </w:tabs>
        <w:spacing w:before="68" w:after="0"/>
        <w:ind w:left="468" w:hanging="248"/>
        <w:jc w:val="both"/>
        <w:rPr>
          <w:rFonts w:ascii="Tahoma" w:hAnsi="Tahoma" w:eastAsia="Tahoma" w:cs="Tahoma"/>
          <w:b/>
          <w:b/>
          <w:color w:val="372162"/>
        </w:rPr>
      </w:pPr>
      <w:r>
        <w:rPr>
          <w:rFonts w:eastAsia="Tahoma" w:cs="Tahoma" w:ascii="Tahoma" w:hAnsi="Tahoma"/>
          <w:b/>
          <w:color w:val="372162"/>
        </w:rPr>
        <w:t>P</w:t>
      </w:r>
      <w:r>
        <w:rPr>
          <w:rFonts w:eastAsia="Tahoma" w:cs="Tahoma" w:ascii="Tahoma" w:hAnsi="Tahoma"/>
          <w:b/>
          <w:color w:val="372162"/>
          <w:sz w:val="15"/>
          <w:szCs w:val="15"/>
        </w:rPr>
        <w:t xml:space="preserve">ROGRAMA </w:t>
      </w:r>
      <w:r>
        <w:rPr>
          <w:rFonts w:eastAsia="Tahoma" w:cs="Tahoma" w:ascii="Tahoma" w:hAnsi="Tahoma"/>
          <w:b/>
          <w:color w:val="372162"/>
        </w:rPr>
        <w:t>D</w:t>
      </w:r>
      <w:r>
        <w:rPr>
          <w:rFonts w:eastAsia="Tahoma" w:cs="Tahoma" w:ascii="Tahoma" w:hAnsi="Tahoma"/>
          <w:b/>
          <w:color w:val="372162"/>
          <w:sz w:val="15"/>
          <w:szCs w:val="15"/>
        </w:rPr>
        <w:t xml:space="preserve">ISTRITAL DE </w:t>
      </w:r>
      <w:r>
        <w:rPr>
          <w:rFonts w:eastAsia="Tahoma" w:cs="Tahoma" w:ascii="Tahoma" w:hAnsi="Tahoma"/>
          <w:b/>
          <w:color w:val="372162"/>
        </w:rPr>
        <w:t>A</w:t>
      </w:r>
      <w:r>
        <w:rPr>
          <w:rFonts w:eastAsia="Tahoma" w:cs="Tahoma" w:ascii="Tahoma" w:hAnsi="Tahoma"/>
          <w:b/>
          <w:color w:val="372162"/>
          <w:sz w:val="15"/>
          <w:szCs w:val="15"/>
        </w:rPr>
        <w:t xml:space="preserve">POYOS </w:t>
      </w:r>
      <w:r>
        <w:rPr>
          <w:rFonts w:eastAsia="Tahoma" w:cs="Tahoma" w:ascii="Tahoma" w:hAnsi="Tahoma"/>
          <w:b/>
          <w:color w:val="372162"/>
        </w:rPr>
        <w:t>C</w:t>
      </w:r>
      <w:r>
        <w:rPr>
          <w:rFonts w:eastAsia="Tahoma" w:cs="Tahoma" w:ascii="Tahoma" w:hAnsi="Tahoma"/>
          <w:b/>
          <w:color w:val="372162"/>
          <w:sz w:val="15"/>
          <w:szCs w:val="15"/>
        </w:rPr>
        <w:t xml:space="preserve">ONCERTADOS </w:t>
      </w:r>
      <w:r>
        <w:rPr>
          <w:rFonts w:eastAsia="Tahoma" w:cs="Tahoma" w:ascii="Tahoma" w:hAnsi="Tahoma"/>
          <w:b/>
          <w:color w:val="372162"/>
        </w:rPr>
        <w:t>– PDAC</w:t>
      </w:r>
      <w:r>
        <w:rPr>
          <w:rFonts w:eastAsia="Times New Roman" w:cs="Times New Roman" w:ascii="Times New Roman" w:hAnsi="Times New Roman"/>
          <w:b/>
          <w:color w:val="372162"/>
        </w:rPr>
        <w:tab/>
      </w:r>
      <w:r>
        <w:rPr>
          <w:rFonts w:eastAsia="Tahoma" w:cs="Tahoma" w:ascii="Tahoma" w:hAnsi="Tahoma"/>
          <w:b/>
          <w:color w:val="372162"/>
        </w:rPr>
        <w:t>5</w:t>
      </w:r>
    </w:p>
    <w:p>
      <w:pPr>
        <w:pStyle w:val="Normal"/>
        <w:numPr>
          <w:ilvl w:val="1"/>
          <w:numId w:val="10"/>
        </w:numPr>
        <w:pBdr/>
        <w:tabs>
          <w:tab w:val="clear" w:pos="720"/>
          <w:tab w:val="left" w:pos="930" w:leader="none"/>
          <w:tab w:val="left" w:pos="8945" w:leader="none"/>
        </w:tabs>
        <w:spacing w:before="69" w:after="0"/>
        <w:ind w:left="929" w:hanging="349"/>
        <w:jc w:val="both"/>
        <w:rPr>
          <w:color w:val="000000"/>
          <w:sz w:val="20"/>
          <w:szCs w:val="20"/>
        </w:rPr>
      </w:pPr>
      <w:r>
        <w:rPr>
          <w:color w:val="000000"/>
          <w:sz w:val="20"/>
          <w:szCs w:val="20"/>
        </w:rPr>
        <w:t>¿Q</w:t>
      </w:r>
      <w:r>
        <w:rPr>
          <w:color w:val="000000"/>
          <w:sz w:val="14"/>
          <w:szCs w:val="14"/>
        </w:rPr>
        <w:t xml:space="preserve">UÉ ES EL </w:t>
      </w:r>
      <w:r>
        <w:rPr>
          <w:color w:val="000000"/>
          <w:sz w:val="20"/>
          <w:szCs w:val="20"/>
        </w:rPr>
        <w:t>P</w:t>
      </w:r>
      <w:r>
        <w:rPr>
          <w:color w:val="000000"/>
          <w:sz w:val="14"/>
          <w:szCs w:val="14"/>
        </w:rPr>
        <w:t xml:space="preserve">ROGRAMA </w:t>
      </w:r>
      <w:r>
        <w:rPr>
          <w:color w:val="000000"/>
          <w:sz w:val="20"/>
          <w:szCs w:val="20"/>
        </w:rPr>
        <w:t>D</w:t>
      </w:r>
      <w:r>
        <w:rPr>
          <w:color w:val="000000"/>
          <w:sz w:val="14"/>
          <w:szCs w:val="14"/>
        </w:rPr>
        <w:t xml:space="preserve">ISTRITAL DE </w:t>
      </w:r>
      <w:r>
        <w:rPr>
          <w:color w:val="000000"/>
          <w:sz w:val="20"/>
          <w:szCs w:val="20"/>
        </w:rPr>
        <w:t>A</w:t>
      </w:r>
      <w:r>
        <w:rPr>
          <w:color w:val="000000"/>
          <w:sz w:val="14"/>
          <w:szCs w:val="14"/>
        </w:rPr>
        <w:t xml:space="preserve">POYOS </w:t>
      </w:r>
      <w:r>
        <w:rPr>
          <w:color w:val="000000"/>
          <w:sz w:val="20"/>
          <w:szCs w:val="20"/>
        </w:rPr>
        <w:t>C</w:t>
      </w:r>
      <w:r>
        <w:rPr>
          <w:color w:val="000000"/>
          <w:sz w:val="14"/>
          <w:szCs w:val="14"/>
        </w:rPr>
        <w:t xml:space="preserve">ONCERTADOS </w:t>
      </w:r>
      <w:r>
        <w:rPr>
          <w:color w:val="000000"/>
          <w:sz w:val="20"/>
          <w:szCs w:val="20"/>
        </w:rPr>
        <w:t xml:space="preserve">– PDAC </w:t>
      </w:r>
      <w:r>
        <w:rPr>
          <w:color w:val="000000"/>
          <w:sz w:val="14"/>
          <w:szCs w:val="14"/>
        </w:rPr>
        <w:t>Y CUÁLES SON SUS OBJETIVOS</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5</w:t>
      </w:r>
    </w:p>
    <w:p>
      <w:pPr>
        <w:pStyle w:val="Normal"/>
        <w:numPr>
          <w:ilvl w:val="1"/>
          <w:numId w:val="10"/>
        </w:numPr>
        <w:pBdr/>
        <w:tabs>
          <w:tab w:val="clear" w:pos="720"/>
          <w:tab w:val="left" w:pos="930" w:leader="none"/>
          <w:tab w:val="left" w:pos="8957" w:leader="none"/>
        </w:tabs>
        <w:spacing w:before="71" w:after="0"/>
        <w:ind w:left="929" w:hanging="349"/>
        <w:jc w:val="both"/>
        <w:rPr>
          <w:rFonts w:ascii="Calibri" w:hAnsi="Calibri" w:eastAsia="Calibri" w:cs="Calibri"/>
          <w:color w:val="000000"/>
          <w:sz w:val="20"/>
          <w:szCs w:val="20"/>
        </w:rPr>
      </w:pPr>
      <w:r>
        <w:rPr>
          <w:rFonts w:eastAsia="Calibri" w:cs="Calibri" w:ascii="Calibri" w:hAnsi="Calibri"/>
          <w:color w:val="000000"/>
          <w:sz w:val="20"/>
          <w:szCs w:val="20"/>
        </w:rPr>
        <w:t>¿C</w:t>
      </w:r>
      <w:r>
        <w:rPr>
          <w:rFonts w:eastAsia="Calibri" w:cs="Calibri" w:ascii="Calibri" w:hAnsi="Calibri"/>
          <w:color w:val="000000"/>
          <w:sz w:val="14"/>
          <w:szCs w:val="14"/>
        </w:rPr>
        <w:t xml:space="preserve">UÁL ES EL FUNDAMENTO NORMATIVO DEL </w:t>
      </w:r>
      <w:r>
        <w:rPr>
          <w:rFonts w:eastAsia="Calibri" w:cs="Calibri" w:ascii="Calibri" w:hAnsi="Calibri"/>
          <w:color w:val="000000"/>
          <w:sz w:val="20"/>
          <w:szCs w:val="20"/>
        </w:rPr>
        <w:t>PDAC?</w:t>
      </w:r>
      <w:r>
        <w:rPr>
          <w:rFonts w:eastAsia="Times New Roman" w:cs="Times New Roman" w:ascii="Times New Roman" w:hAnsi="Times New Roman"/>
          <w:color w:val="000000"/>
          <w:sz w:val="20"/>
          <w:szCs w:val="20"/>
        </w:rPr>
        <w:tab/>
      </w:r>
      <w:r>
        <w:rPr>
          <w:rFonts w:eastAsia="Calibri" w:cs="Calibri" w:ascii="Calibri" w:hAnsi="Calibri"/>
          <w:color w:val="000000"/>
          <w:sz w:val="20"/>
          <w:szCs w:val="20"/>
        </w:rPr>
        <w:t>6</w:t>
      </w:r>
    </w:p>
    <w:p>
      <w:pPr>
        <w:pStyle w:val="Normal"/>
        <w:numPr>
          <w:ilvl w:val="1"/>
          <w:numId w:val="10"/>
        </w:numPr>
        <w:pBdr/>
        <w:tabs>
          <w:tab w:val="clear" w:pos="720"/>
          <w:tab w:val="left" w:pos="930" w:leader="none"/>
          <w:tab w:val="left" w:pos="8957" w:leader="none"/>
        </w:tabs>
        <w:spacing w:before="60" w:after="0"/>
        <w:ind w:left="929" w:hanging="349"/>
        <w:jc w:val="both"/>
        <w:rPr>
          <w:rFonts w:ascii="Calibri" w:hAnsi="Calibri" w:eastAsia="Calibri" w:cs="Calibri"/>
          <w:color w:val="000000"/>
          <w:sz w:val="20"/>
          <w:szCs w:val="20"/>
        </w:rPr>
      </w:pPr>
      <w:r>
        <w:rPr>
          <w:rFonts w:eastAsia="Calibri" w:cs="Calibri" w:ascii="Calibri" w:hAnsi="Calibri"/>
          <w:color w:val="000000"/>
          <w:sz w:val="20"/>
          <w:szCs w:val="20"/>
        </w:rPr>
        <w:t>¿C</w:t>
      </w:r>
      <w:r>
        <w:rPr>
          <w:rFonts w:eastAsia="Calibri" w:cs="Calibri" w:ascii="Calibri" w:hAnsi="Calibri"/>
          <w:color w:val="000000"/>
          <w:sz w:val="14"/>
          <w:szCs w:val="14"/>
        </w:rPr>
        <w:t xml:space="preserve">UÁL ES LA INSTANCIA DE DECISIÓN DEL </w:t>
      </w:r>
      <w:r>
        <w:rPr>
          <w:rFonts w:eastAsia="Calibri" w:cs="Calibri" w:ascii="Calibri" w:hAnsi="Calibri"/>
          <w:color w:val="000000"/>
          <w:sz w:val="20"/>
          <w:szCs w:val="20"/>
        </w:rPr>
        <w:t>PDAC?</w:t>
      </w:r>
      <w:r>
        <w:rPr>
          <w:rFonts w:eastAsia="Times New Roman" w:cs="Times New Roman" w:ascii="Times New Roman" w:hAnsi="Times New Roman"/>
          <w:color w:val="000000"/>
          <w:sz w:val="20"/>
          <w:szCs w:val="20"/>
        </w:rPr>
        <w:tab/>
      </w:r>
      <w:r>
        <w:rPr>
          <w:rFonts w:eastAsia="Calibri" w:cs="Calibri" w:ascii="Calibri" w:hAnsi="Calibri"/>
          <w:color w:val="000000"/>
          <w:sz w:val="20"/>
          <w:szCs w:val="20"/>
        </w:rPr>
        <w:t>9</w:t>
      </w:r>
    </w:p>
    <w:p>
      <w:pPr>
        <w:pStyle w:val="Normal"/>
        <w:numPr>
          <w:ilvl w:val="1"/>
          <w:numId w:val="10"/>
        </w:numPr>
        <w:pBdr/>
        <w:tabs>
          <w:tab w:val="clear" w:pos="720"/>
          <w:tab w:val="left" w:pos="930" w:leader="none"/>
          <w:tab w:val="left" w:pos="8856" w:leader="none"/>
        </w:tabs>
        <w:spacing w:before="60" w:after="0"/>
        <w:ind w:left="929" w:hanging="349"/>
        <w:jc w:val="both"/>
        <w:rPr>
          <w:rFonts w:ascii="Calibri" w:hAnsi="Calibri" w:eastAsia="Calibri" w:cs="Calibri"/>
          <w:color w:val="000000"/>
          <w:sz w:val="20"/>
          <w:szCs w:val="20"/>
        </w:rPr>
      </w:pPr>
      <w:r>
        <w:rPr>
          <w:rFonts w:eastAsia="Calibri" w:cs="Calibri" w:ascii="Calibri" w:hAnsi="Calibri"/>
          <w:color w:val="000000"/>
          <w:sz w:val="20"/>
          <w:szCs w:val="20"/>
        </w:rPr>
        <w:t>¿C</w:t>
      </w:r>
      <w:r>
        <w:rPr>
          <w:rFonts w:eastAsia="Calibri" w:cs="Calibri" w:ascii="Calibri" w:hAnsi="Calibri"/>
          <w:color w:val="000000"/>
          <w:sz w:val="14"/>
          <w:szCs w:val="14"/>
        </w:rPr>
        <w:t xml:space="preserve">UÁLES SON LAS MODALIDADES DE PARTICIPACIÓN EN EL </w:t>
      </w:r>
      <w:r>
        <w:rPr>
          <w:rFonts w:eastAsia="Calibri" w:cs="Calibri" w:ascii="Calibri" w:hAnsi="Calibri"/>
          <w:color w:val="000000"/>
          <w:sz w:val="20"/>
          <w:szCs w:val="20"/>
        </w:rPr>
        <w:t>PDAC?</w:t>
      </w:r>
      <w:r>
        <w:rPr>
          <w:rFonts w:eastAsia="Times New Roman" w:cs="Times New Roman" w:ascii="Times New Roman" w:hAnsi="Times New Roman"/>
          <w:color w:val="000000"/>
          <w:sz w:val="20"/>
          <w:szCs w:val="20"/>
        </w:rPr>
        <w:tab/>
      </w:r>
      <w:r>
        <w:rPr>
          <w:rFonts w:eastAsia="Calibri" w:cs="Calibri" w:ascii="Calibri" w:hAnsi="Calibri"/>
          <w:color w:val="000000"/>
          <w:sz w:val="20"/>
          <w:szCs w:val="20"/>
        </w:rPr>
        <w:t>10</w:t>
      </w:r>
    </w:p>
    <w:p>
      <w:pPr>
        <w:pStyle w:val="Ttulo5"/>
        <w:numPr>
          <w:ilvl w:val="0"/>
          <w:numId w:val="10"/>
        </w:numPr>
        <w:tabs>
          <w:tab w:val="clear" w:pos="720"/>
          <w:tab w:val="left" w:pos="466" w:leader="none"/>
          <w:tab w:val="left" w:pos="8826" w:leader="none"/>
        </w:tabs>
        <w:spacing w:before="57" w:after="0"/>
        <w:ind w:left="221" w:right="398" w:hanging="0"/>
        <w:rPr>
          <w:rFonts w:ascii="Arial" w:hAnsi="Arial" w:eastAsia="Arial" w:cs="Arial"/>
        </w:rPr>
      </w:pPr>
      <w:r>
        <w:rPr>
          <w:rFonts w:eastAsia="Arial" w:cs="Arial" w:ascii="Arial" w:hAnsi="Arial"/>
        </w:rPr>
        <w:t>Programa Distrital de Apoyos Concertados-PDAC, modalidad Proyectos Locales e Interlocales</w:t>
      </w:r>
      <w:r>
        <w:rPr>
          <w:rFonts w:eastAsia="Times New Roman" w:cs="Times New Roman" w:ascii="Times New Roman" w:hAnsi="Times New Roman"/>
        </w:rPr>
        <w:tab/>
      </w:r>
      <w:r>
        <w:rPr>
          <w:rFonts w:eastAsia="Arial" w:cs="Arial" w:ascii="Arial" w:hAnsi="Arial"/>
        </w:rPr>
        <w:t>11</w:t>
      </w:r>
    </w:p>
    <w:p>
      <w:pPr>
        <w:pStyle w:val="Normal"/>
        <w:numPr>
          <w:ilvl w:val="1"/>
          <w:numId w:val="10"/>
        </w:numPr>
        <w:pBdr/>
        <w:tabs>
          <w:tab w:val="clear" w:pos="720"/>
          <w:tab w:val="left" w:pos="926" w:leader="none"/>
          <w:tab w:val="left" w:pos="8875" w:leader="none"/>
        </w:tabs>
        <w:spacing w:before="59" w:after="0"/>
        <w:ind w:left="925" w:hanging="345"/>
        <w:jc w:val="both"/>
        <w:rPr>
          <w:color w:val="000000"/>
          <w:sz w:val="20"/>
          <w:szCs w:val="20"/>
        </w:rPr>
      </w:pPr>
      <w:r>
        <w:rPr>
          <w:color w:val="000000"/>
          <w:sz w:val="20"/>
          <w:szCs w:val="20"/>
        </w:rPr>
        <w:t>¿Q</w:t>
      </w:r>
      <w:r>
        <w:rPr>
          <w:color w:val="000000"/>
          <w:sz w:val="14"/>
          <w:szCs w:val="14"/>
        </w:rPr>
        <w:t xml:space="preserve">UÉ ES UN </w:t>
      </w:r>
      <w:r>
        <w:rPr>
          <w:color w:val="000000"/>
          <w:sz w:val="20"/>
          <w:szCs w:val="20"/>
        </w:rPr>
        <w:t>P</w:t>
      </w:r>
      <w:r>
        <w:rPr>
          <w:color w:val="000000"/>
          <w:sz w:val="14"/>
          <w:szCs w:val="14"/>
        </w:rPr>
        <w:t>ROYECTO LOCAL E INTERLOCAL</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11</w:t>
      </w:r>
    </w:p>
    <w:p>
      <w:pPr>
        <w:pStyle w:val="Normal"/>
        <w:numPr>
          <w:ilvl w:val="1"/>
          <w:numId w:val="10"/>
        </w:numPr>
        <w:pBdr/>
        <w:tabs>
          <w:tab w:val="clear" w:pos="720"/>
          <w:tab w:val="left" w:pos="944" w:leader="none"/>
          <w:tab w:val="left" w:pos="8857" w:leader="none"/>
        </w:tabs>
        <w:spacing w:before="67" w:after="0"/>
        <w:ind w:left="943" w:hanging="363"/>
        <w:jc w:val="both"/>
        <w:rPr>
          <w:color w:val="000000"/>
          <w:sz w:val="20"/>
          <w:szCs w:val="20"/>
        </w:rPr>
      </w:pPr>
      <w:r>
        <w:rPr>
          <w:color w:val="000000"/>
          <w:sz w:val="20"/>
          <w:szCs w:val="20"/>
        </w:rPr>
        <w:t>¿Q</w:t>
      </w:r>
      <w:r>
        <w:rPr>
          <w:color w:val="000000"/>
          <w:sz w:val="14"/>
          <w:szCs w:val="14"/>
        </w:rPr>
        <w:t>UIÉNES PUEDEN PARTICIPAR</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12</w:t>
      </w:r>
    </w:p>
    <w:p>
      <w:pPr>
        <w:pStyle w:val="Normal"/>
        <w:numPr>
          <w:ilvl w:val="1"/>
          <w:numId w:val="10"/>
        </w:numPr>
        <w:pBdr/>
        <w:tabs>
          <w:tab w:val="clear" w:pos="720"/>
          <w:tab w:val="left" w:pos="940" w:leader="none"/>
          <w:tab w:val="left" w:pos="8857" w:leader="none"/>
        </w:tabs>
        <w:spacing w:before="67" w:after="0"/>
        <w:ind w:left="939" w:hanging="359"/>
        <w:jc w:val="both"/>
        <w:rPr>
          <w:color w:val="000000"/>
          <w:sz w:val="20"/>
          <w:szCs w:val="20"/>
        </w:rPr>
      </w:pPr>
      <w:r>
        <w:rPr>
          <w:color w:val="000000"/>
          <w:sz w:val="20"/>
          <w:szCs w:val="20"/>
        </w:rPr>
        <w:t>¿Q</w:t>
      </w:r>
      <w:r>
        <w:rPr>
          <w:color w:val="000000"/>
          <w:sz w:val="14"/>
          <w:szCs w:val="14"/>
        </w:rPr>
        <w:t>UIÉNES NO PUEDEN PARTICIPAR</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12</w:t>
      </w:r>
    </w:p>
    <w:p>
      <w:pPr>
        <w:pStyle w:val="Normal"/>
        <w:numPr>
          <w:ilvl w:val="1"/>
          <w:numId w:val="10"/>
        </w:numPr>
        <w:pBdr/>
        <w:tabs>
          <w:tab w:val="clear" w:pos="720"/>
          <w:tab w:val="left" w:pos="953" w:leader="none"/>
          <w:tab w:val="left" w:pos="8853" w:leader="none"/>
        </w:tabs>
        <w:spacing w:lineRule="auto" w:line="244" w:before="66" w:after="0"/>
        <w:ind w:left="581" w:right="398" w:hanging="0"/>
        <w:jc w:val="both"/>
        <w:rPr>
          <w:color w:val="000000"/>
          <w:sz w:val="20"/>
          <w:szCs w:val="20"/>
        </w:rPr>
      </w:pPr>
      <w:r>
        <w:rPr>
          <w:color w:val="000000"/>
          <w:sz w:val="20"/>
          <w:szCs w:val="20"/>
        </w:rPr>
        <w:t>¿C</w:t>
      </w:r>
      <w:r>
        <w:rPr>
          <w:color w:val="000000"/>
          <w:sz w:val="14"/>
          <w:szCs w:val="14"/>
        </w:rPr>
        <w:t xml:space="preserve">UÁLES SON LAS LÍNEAS DE PARTICIPACIÓN DEL </w:t>
      </w:r>
      <w:r>
        <w:rPr>
          <w:color w:val="000000"/>
          <w:sz w:val="20"/>
          <w:szCs w:val="20"/>
        </w:rPr>
        <w:t xml:space="preserve">PDAC </w:t>
      </w:r>
      <w:r>
        <w:rPr>
          <w:color w:val="000000"/>
          <w:sz w:val="14"/>
          <w:szCs w:val="14"/>
        </w:rPr>
        <w:t>EN LA MODALIDAD DE PROYECTOS LOCALES E INTERLOCALES</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15</w:t>
      </w:r>
    </w:p>
    <w:p>
      <w:pPr>
        <w:pStyle w:val="Normal"/>
        <w:numPr>
          <w:ilvl w:val="1"/>
          <w:numId w:val="10"/>
        </w:numPr>
        <w:pBdr/>
        <w:tabs>
          <w:tab w:val="clear" w:pos="720"/>
          <w:tab w:val="left" w:pos="948" w:leader="none"/>
          <w:tab w:val="left" w:pos="8839" w:leader="none"/>
        </w:tabs>
        <w:spacing w:lineRule="auto" w:line="244" w:before="60" w:after="0"/>
        <w:ind w:left="581" w:right="398" w:hanging="0"/>
        <w:jc w:val="both"/>
        <w:rPr>
          <w:color w:val="000000"/>
          <w:sz w:val="20"/>
          <w:szCs w:val="20"/>
        </w:rPr>
      </w:pPr>
      <w:r>
        <w:rPr>
          <w:color w:val="000000"/>
          <w:sz w:val="20"/>
          <w:szCs w:val="20"/>
        </w:rPr>
        <w:t>¿C</w:t>
      </w:r>
      <w:r>
        <w:rPr>
          <w:color w:val="000000"/>
          <w:sz w:val="14"/>
          <w:szCs w:val="14"/>
        </w:rPr>
        <w:t>UÁL ES EL PORCENTAJE MÁXIMO POSIBLE DE RECURSOS A ASIGNAR A UN PROYECTO ELEGIBLE EN LA MODALIDAD DE PROYECTOS LOCALES E INTERLOCALES</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22</w:t>
      </w:r>
    </w:p>
    <w:p>
      <w:pPr>
        <w:pStyle w:val="Normal"/>
        <w:numPr>
          <w:ilvl w:val="1"/>
          <w:numId w:val="10"/>
        </w:numPr>
        <w:pBdr/>
        <w:tabs>
          <w:tab w:val="clear" w:pos="720"/>
          <w:tab w:val="left" w:pos="949" w:leader="none"/>
          <w:tab w:val="left" w:pos="8839" w:leader="none"/>
        </w:tabs>
        <w:spacing w:lineRule="auto" w:line="244" w:before="59" w:after="0"/>
        <w:ind w:left="581" w:right="398" w:hanging="0"/>
        <w:jc w:val="both"/>
        <w:rPr>
          <w:color w:val="000000"/>
          <w:sz w:val="20"/>
          <w:szCs w:val="20"/>
        </w:rPr>
      </w:pPr>
      <w:r>
        <w:rPr>
          <w:color w:val="000000"/>
          <w:sz w:val="20"/>
          <w:szCs w:val="20"/>
        </w:rPr>
        <w:t>¿C</w:t>
      </w:r>
      <w:r>
        <w:rPr>
          <w:color w:val="000000"/>
          <w:sz w:val="14"/>
          <w:szCs w:val="14"/>
        </w:rPr>
        <w:t xml:space="preserve">UÁLES SON LAS FASES DE UNA CONVOCATORIA DEL </w:t>
      </w:r>
      <w:r>
        <w:rPr>
          <w:color w:val="000000"/>
          <w:sz w:val="20"/>
          <w:szCs w:val="20"/>
        </w:rPr>
        <w:t>PDAC – M</w:t>
      </w:r>
      <w:r>
        <w:rPr>
          <w:color w:val="000000"/>
          <w:sz w:val="14"/>
          <w:szCs w:val="14"/>
        </w:rPr>
        <w:t>ODALIDAD PROYECTOS LOCALES E INTERLOCALES</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22</w:t>
      </w:r>
    </w:p>
    <w:p>
      <w:pPr>
        <w:pStyle w:val="Normal"/>
        <w:numPr>
          <w:ilvl w:val="0"/>
          <w:numId w:val="10"/>
        </w:numPr>
        <w:pBdr/>
        <w:tabs>
          <w:tab w:val="clear" w:pos="720"/>
          <w:tab w:val="left" w:pos="494" w:leader="none"/>
          <w:tab w:val="left" w:pos="8808" w:leader="none"/>
        </w:tabs>
        <w:spacing w:lineRule="auto" w:line="247" w:before="60" w:after="0"/>
        <w:ind w:left="221" w:right="398" w:hanging="0"/>
        <w:jc w:val="both"/>
        <w:rPr>
          <w:rFonts w:ascii="Tahoma" w:hAnsi="Tahoma" w:eastAsia="Tahoma" w:cs="Tahoma"/>
          <w:b/>
          <w:b/>
          <w:color w:val="372162"/>
        </w:rPr>
      </w:pPr>
      <w:r>
        <w:rPr>
          <w:rFonts w:eastAsia="Tahoma" w:cs="Tahoma" w:ascii="Tahoma" w:hAnsi="Tahoma"/>
          <w:b/>
          <w:color w:val="372162"/>
        </w:rPr>
        <w:t>C</w:t>
      </w:r>
      <w:r>
        <w:rPr>
          <w:rFonts w:eastAsia="Tahoma" w:cs="Tahoma" w:ascii="Tahoma" w:hAnsi="Tahoma"/>
          <w:b/>
          <w:color w:val="372162"/>
          <w:sz w:val="15"/>
          <w:szCs w:val="15"/>
        </w:rPr>
        <w:t xml:space="preserve">ONVOCATORIA </w:t>
      </w:r>
      <w:r>
        <w:rPr>
          <w:rFonts w:eastAsia="Tahoma" w:cs="Tahoma" w:ascii="Tahoma" w:hAnsi="Tahoma"/>
          <w:b/>
          <w:color w:val="372162"/>
        </w:rPr>
        <w:t xml:space="preserve">2024 </w:t>
      </w:r>
      <w:r>
        <w:rPr>
          <w:rFonts w:eastAsia="Tahoma" w:cs="Tahoma" w:ascii="Tahoma" w:hAnsi="Tahoma"/>
          <w:b/>
          <w:color w:val="372162"/>
          <w:sz w:val="15"/>
          <w:szCs w:val="15"/>
        </w:rPr>
        <w:t xml:space="preserve">AL </w:t>
      </w:r>
      <w:r>
        <w:rPr>
          <w:rFonts w:eastAsia="Tahoma" w:cs="Tahoma" w:ascii="Tahoma" w:hAnsi="Tahoma"/>
          <w:b/>
          <w:color w:val="372162"/>
        </w:rPr>
        <w:t>P</w:t>
      </w:r>
      <w:r>
        <w:rPr>
          <w:rFonts w:eastAsia="Tahoma" w:cs="Tahoma" w:ascii="Tahoma" w:hAnsi="Tahoma"/>
          <w:b/>
          <w:color w:val="372162"/>
          <w:sz w:val="15"/>
          <w:szCs w:val="15"/>
        </w:rPr>
        <w:t xml:space="preserve">ROGRAMA </w:t>
      </w:r>
      <w:r>
        <w:rPr>
          <w:rFonts w:eastAsia="Tahoma" w:cs="Tahoma" w:ascii="Tahoma" w:hAnsi="Tahoma"/>
          <w:b/>
          <w:color w:val="372162"/>
        </w:rPr>
        <w:t>D</w:t>
      </w:r>
      <w:r>
        <w:rPr>
          <w:rFonts w:eastAsia="Tahoma" w:cs="Tahoma" w:ascii="Tahoma" w:hAnsi="Tahoma"/>
          <w:b/>
          <w:color w:val="372162"/>
          <w:sz w:val="15"/>
          <w:szCs w:val="15"/>
        </w:rPr>
        <w:t xml:space="preserve">ISTRITAL DE </w:t>
      </w:r>
      <w:r>
        <w:rPr>
          <w:rFonts w:eastAsia="Tahoma" w:cs="Tahoma" w:ascii="Tahoma" w:hAnsi="Tahoma"/>
          <w:b/>
          <w:color w:val="372162"/>
        </w:rPr>
        <w:t>A</w:t>
      </w:r>
      <w:r>
        <w:rPr>
          <w:rFonts w:eastAsia="Tahoma" w:cs="Tahoma" w:ascii="Tahoma" w:hAnsi="Tahoma"/>
          <w:b/>
          <w:color w:val="372162"/>
          <w:sz w:val="15"/>
          <w:szCs w:val="15"/>
        </w:rPr>
        <w:t xml:space="preserve">POYOS </w:t>
      </w:r>
      <w:r>
        <w:rPr>
          <w:rFonts w:eastAsia="Tahoma" w:cs="Tahoma" w:ascii="Tahoma" w:hAnsi="Tahoma"/>
          <w:b/>
          <w:color w:val="372162"/>
        </w:rPr>
        <w:t>C</w:t>
      </w:r>
      <w:r>
        <w:rPr>
          <w:rFonts w:eastAsia="Tahoma" w:cs="Tahoma" w:ascii="Tahoma" w:hAnsi="Tahoma"/>
          <w:b/>
          <w:color w:val="372162"/>
          <w:sz w:val="15"/>
          <w:szCs w:val="15"/>
        </w:rPr>
        <w:t xml:space="preserve">ONCERTADOS </w:t>
      </w:r>
      <w:r>
        <w:rPr>
          <w:rFonts w:eastAsia="Tahoma" w:cs="Tahoma" w:ascii="Tahoma" w:hAnsi="Tahoma"/>
          <w:b/>
          <w:color w:val="372162"/>
        </w:rPr>
        <w:t>- PDAC, M</w:t>
      </w:r>
      <w:r>
        <w:rPr>
          <w:rFonts w:eastAsia="Tahoma" w:cs="Tahoma" w:ascii="Tahoma" w:hAnsi="Tahoma"/>
          <w:b/>
          <w:color w:val="372162"/>
          <w:sz w:val="15"/>
          <w:szCs w:val="15"/>
        </w:rPr>
        <w:t xml:space="preserve">ODALIDAD </w:t>
      </w:r>
      <w:r>
        <w:rPr>
          <w:rFonts w:eastAsia="Tahoma" w:cs="Tahoma" w:ascii="Tahoma" w:hAnsi="Tahoma"/>
          <w:b/>
          <w:color w:val="372162"/>
        </w:rPr>
        <w:t>P</w:t>
      </w:r>
      <w:r>
        <w:rPr>
          <w:rFonts w:eastAsia="Tahoma" w:cs="Tahoma" w:ascii="Tahoma" w:hAnsi="Tahoma"/>
          <w:b/>
          <w:color w:val="372162"/>
          <w:sz w:val="15"/>
          <w:szCs w:val="15"/>
        </w:rPr>
        <w:t xml:space="preserve">ROYECTOS </w:t>
      </w:r>
      <w:r>
        <w:rPr>
          <w:rFonts w:eastAsia="Tahoma" w:cs="Tahoma" w:ascii="Tahoma" w:hAnsi="Tahoma"/>
          <w:b/>
          <w:color w:val="372162"/>
        </w:rPr>
        <w:t>L</w:t>
      </w:r>
      <w:r>
        <w:rPr>
          <w:rFonts w:eastAsia="Tahoma" w:cs="Tahoma" w:ascii="Tahoma" w:hAnsi="Tahoma"/>
          <w:b/>
          <w:color w:val="372162"/>
          <w:sz w:val="15"/>
          <w:szCs w:val="15"/>
        </w:rPr>
        <w:t xml:space="preserve">OCALES E </w:t>
      </w:r>
      <w:r>
        <w:rPr>
          <w:rFonts w:eastAsia="Tahoma" w:cs="Tahoma" w:ascii="Tahoma" w:hAnsi="Tahoma"/>
          <w:b/>
          <w:color w:val="372162"/>
        </w:rPr>
        <w:t>I</w:t>
      </w:r>
      <w:r>
        <w:rPr>
          <w:rFonts w:eastAsia="Tahoma" w:cs="Tahoma" w:ascii="Tahoma" w:hAnsi="Tahoma"/>
          <w:b/>
          <w:color w:val="372162"/>
          <w:sz w:val="15"/>
          <w:szCs w:val="15"/>
        </w:rPr>
        <w:t>NTERLOCALES</w:t>
      </w:r>
      <w:r>
        <w:rPr>
          <w:rFonts w:eastAsia="Times New Roman" w:cs="Times New Roman" w:ascii="Times New Roman" w:hAnsi="Times New Roman"/>
          <w:b/>
          <w:color w:val="372162"/>
          <w:sz w:val="15"/>
          <w:szCs w:val="15"/>
        </w:rPr>
        <w:t xml:space="preserve">                                                                                                                     </w:t>
      </w:r>
      <w:r>
        <w:rPr>
          <w:rFonts w:eastAsia="Tahoma" w:cs="Tahoma" w:ascii="Tahoma" w:hAnsi="Tahoma"/>
          <w:b/>
          <w:color w:val="372162"/>
        </w:rPr>
        <w:t>23</w:t>
      </w:r>
    </w:p>
    <w:p>
      <w:pPr>
        <w:pStyle w:val="Normal"/>
        <w:numPr>
          <w:ilvl w:val="1"/>
          <w:numId w:val="10"/>
        </w:numPr>
        <w:pBdr/>
        <w:tabs>
          <w:tab w:val="clear" w:pos="720"/>
          <w:tab w:val="left" w:pos="944" w:leader="none"/>
          <w:tab w:val="left" w:pos="8843" w:leader="none"/>
        </w:tabs>
        <w:spacing w:before="57" w:after="0"/>
        <w:ind w:left="943" w:hanging="363"/>
        <w:jc w:val="both"/>
        <w:rPr>
          <w:color w:val="000000"/>
          <w:sz w:val="20"/>
          <w:szCs w:val="20"/>
        </w:rPr>
      </w:pPr>
      <w:r>
        <w:rPr>
          <w:color w:val="000000"/>
          <w:sz w:val="20"/>
          <w:szCs w:val="20"/>
        </w:rPr>
        <w:t>¿C</w:t>
      </w:r>
      <w:r>
        <w:rPr>
          <w:color w:val="000000"/>
          <w:sz w:val="14"/>
          <w:szCs w:val="14"/>
        </w:rPr>
        <w:t>UÁL ES EL CRONOGRAMA DE LA CONVOCATORIA</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23</w:t>
      </w:r>
    </w:p>
    <w:p>
      <w:pPr>
        <w:pStyle w:val="Normal"/>
        <w:numPr>
          <w:ilvl w:val="1"/>
          <w:numId w:val="10"/>
        </w:numPr>
        <w:pBdr/>
        <w:tabs>
          <w:tab w:val="clear" w:pos="720"/>
          <w:tab w:val="left" w:pos="962" w:leader="none"/>
          <w:tab w:val="left" w:pos="8835" w:leader="none"/>
        </w:tabs>
        <w:spacing w:before="67" w:after="0"/>
        <w:ind w:left="961" w:hanging="381"/>
        <w:jc w:val="both"/>
        <w:rPr>
          <w:color w:val="000000"/>
          <w:sz w:val="20"/>
          <w:szCs w:val="20"/>
        </w:rPr>
      </w:pPr>
      <w:r>
        <w:rPr>
          <w:color w:val="000000"/>
          <w:sz w:val="20"/>
          <w:szCs w:val="20"/>
        </w:rPr>
        <w:t>¿C</w:t>
      </w:r>
      <w:r>
        <w:rPr>
          <w:color w:val="000000"/>
          <w:sz w:val="14"/>
          <w:szCs w:val="14"/>
        </w:rPr>
        <w:t>UÁL ES EL PROCESO DE REGISTRO DE ENTIDADES Y DE INSCRIPCIÓN DE PROYECTOS PARTICIPANTES</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25</w:t>
      </w:r>
    </w:p>
    <w:p>
      <w:pPr>
        <w:pStyle w:val="Normal"/>
        <w:numPr>
          <w:ilvl w:val="1"/>
          <w:numId w:val="10"/>
        </w:numPr>
        <w:pBdr/>
        <w:tabs>
          <w:tab w:val="clear" w:pos="720"/>
          <w:tab w:val="left" w:pos="958" w:leader="none"/>
          <w:tab w:val="left" w:pos="8830" w:leader="none"/>
        </w:tabs>
        <w:spacing w:before="67" w:after="0"/>
        <w:ind w:left="957" w:hanging="377"/>
        <w:jc w:val="both"/>
        <w:rPr>
          <w:color w:val="000000"/>
          <w:sz w:val="20"/>
          <w:szCs w:val="20"/>
        </w:rPr>
      </w:pPr>
      <w:r>
        <w:rPr>
          <w:color w:val="000000"/>
          <w:sz w:val="20"/>
          <w:szCs w:val="20"/>
        </w:rPr>
        <w:t>¿C</w:t>
      </w:r>
      <w:r>
        <w:rPr>
          <w:color w:val="000000"/>
          <w:sz w:val="14"/>
          <w:szCs w:val="14"/>
        </w:rPr>
        <w:t>UÁLES SON LOS DOCUMENTOS ADMINISTRATIVOS PARA INSCRIBIRSE EN LA CONVOCATORIA</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30</w:t>
      </w:r>
    </w:p>
    <w:p>
      <w:pPr>
        <w:pStyle w:val="Normal"/>
        <w:numPr>
          <w:ilvl w:val="1"/>
          <w:numId w:val="10"/>
        </w:numPr>
        <w:pBdr/>
        <w:tabs>
          <w:tab w:val="clear" w:pos="720"/>
          <w:tab w:val="left" w:pos="972" w:leader="none"/>
          <w:tab w:val="left" w:pos="8838" w:leader="none"/>
        </w:tabs>
        <w:spacing w:before="67" w:after="0"/>
        <w:ind w:left="971" w:hanging="391"/>
        <w:jc w:val="both"/>
        <w:rPr>
          <w:color w:val="000000"/>
          <w:sz w:val="20"/>
          <w:szCs w:val="20"/>
        </w:rPr>
      </w:pPr>
      <w:r>
        <w:rPr>
          <w:color w:val="000000"/>
          <w:sz w:val="20"/>
          <w:szCs w:val="20"/>
        </w:rPr>
        <w:t>¿C</w:t>
      </w:r>
      <w:r>
        <w:rPr>
          <w:color w:val="000000"/>
          <w:sz w:val="14"/>
          <w:szCs w:val="14"/>
        </w:rPr>
        <w:t>UÁLES SON LOS DOCUMENTOS TÉCNICOS PARA INSCRIBIRSE EN LA CONVOCATORIA</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36</w:t>
      </w:r>
    </w:p>
    <w:p>
      <w:pPr>
        <w:pStyle w:val="Normal"/>
        <w:numPr>
          <w:ilvl w:val="0"/>
          <w:numId w:val="10"/>
        </w:numPr>
        <w:pBdr/>
        <w:tabs>
          <w:tab w:val="clear" w:pos="720"/>
          <w:tab w:val="left" w:pos="479" w:leader="none"/>
          <w:tab w:val="left" w:pos="8807" w:leader="none"/>
        </w:tabs>
        <w:spacing w:lineRule="auto" w:line="247" w:before="68" w:after="0"/>
        <w:ind w:left="221" w:right="398" w:hanging="0"/>
        <w:jc w:val="both"/>
        <w:rPr>
          <w:rFonts w:ascii="Tahoma" w:hAnsi="Tahoma" w:eastAsia="Tahoma" w:cs="Tahoma"/>
          <w:b/>
          <w:b/>
          <w:color w:val="372162"/>
        </w:rPr>
      </w:pPr>
      <w:r>
        <w:rPr>
          <w:rFonts w:eastAsia="Tahoma" w:cs="Tahoma" w:ascii="Tahoma" w:hAnsi="Tahoma"/>
          <w:b/>
          <w:color w:val="372162"/>
        </w:rPr>
        <w:t>V</w:t>
      </w:r>
      <w:r>
        <w:rPr>
          <w:rFonts w:eastAsia="Tahoma" w:cs="Tahoma" w:ascii="Tahoma" w:hAnsi="Tahoma"/>
          <w:b/>
          <w:color w:val="372162"/>
          <w:sz w:val="15"/>
          <w:szCs w:val="15"/>
        </w:rPr>
        <w:t>ERIFICACIÓN DE DOCUMENTACIÓN E IDONEIDAD Y EVALUACIÓN TÉCNICA DE LOS PROYECTOS PARTICIPANTES EN LA MODALIDAD LOCALES E INTERLOCALES</w:t>
      </w:r>
      <w:r>
        <w:rPr>
          <w:rFonts w:eastAsia="Times New Roman" w:cs="Times New Roman" w:ascii="Times New Roman" w:hAnsi="Times New Roman"/>
          <w:b/>
          <w:color w:val="372162"/>
          <w:sz w:val="15"/>
          <w:szCs w:val="15"/>
        </w:rPr>
        <w:t xml:space="preserve">                                                                                                    </w:t>
      </w:r>
      <w:r>
        <w:rPr>
          <w:rFonts w:eastAsia="Tahoma" w:cs="Tahoma" w:ascii="Tahoma" w:hAnsi="Tahoma"/>
          <w:b/>
          <w:color w:val="372162"/>
        </w:rPr>
        <w:t>37</w:t>
      </w:r>
    </w:p>
    <w:p>
      <w:pPr>
        <w:pStyle w:val="Normal"/>
        <w:numPr>
          <w:ilvl w:val="1"/>
          <w:numId w:val="10"/>
        </w:numPr>
        <w:pBdr/>
        <w:tabs>
          <w:tab w:val="clear" w:pos="720"/>
          <w:tab w:val="left" w:pos="934" w:leader="none"/>
          <w:tab w:val="left" w:pos="8837" w:leader="none"/>
        </w:tabs>
        <w:spacing w:lineRule="auto" w:line="244" w:before="56" w:after="0"/>
        <w:ind w:left="581" w:right="398" w:hanging="0"/>
        <w:jc w:val="both"/>
        <w:rPr>
          <w:color w:val="000000"/>
          <w:sz w:val="20"/>
          <w:szCs w:val="20"/>
        </w:rPr>
      </w:pPr>
      <w:r>
        <w:rPr>
          <w:color w:val="000000"/>
          <w:sz w:val="20"/>
          <w:szCs w:val="20"/>
        </w:rPr>
        <w:t>¿E</w:t>
      </w:r>
      <w:r>
        <w:rPr>
          <w:color w:val="000000"/>
          <w:sz w:val="14"/>
          <w:szCs w:val="14"/>
        </w:rPr>
        <w:t>N QUÉ CONSISTE EL PROCESO DE VERIFICACIÓN DE DOCUMENTACIÓN ADMINISTRATIVA Y TÉCNICA DE LOS PROYECTOS PARTICIPANTES</w:t>
      </w:r>
      <w:r>
        <w:rPr>
          <w:color w:val="000000"/>
          <w:sz w:val="20"/>
          <w:szCs w:val="20"/>
        </w:rPr>
        <w:t>?</w:t>
      </w:r>
      <w:r>
        <w:rPr>
          <w:rFonts w:eastAsia="Times New Roman" w:cs="Times New Roman" w:ascii="Times New Roman" w:hAnsi="Times New Roman"/>
          <w:sz w:val="20"/>
          <w:szCs w:val="20"/>
        </w:rPr>
        <w:t xml:space="preserve">                                                                                                                   </w:t>
      </w:r>
      <w:r>
        <w:rPr>
          <w:color w:val="000000"/>
          <w:sz w:val="20"/>
          <w:szCs w:val="20"/>
        </w:rPr>
        <w:t>38</w:t>
      </w:r>
    </w:p>
    <w:p>
      <w:pPr>
        <w:pStyle w:val="Normal"/>
        <w:numPr>
          <w:ilvl w:val="1"/>
          <w:numId w:val="10"/>
        </w:numPr>
        <w:pBdr/>
        <w:tabs>
          <w:tab w:val="clear" w:pos="720"/>
          <w:tab w:val="left" w:pos="952" w:leader="none"/>
          <w:tab w:val="left" w:pos="8812" w:leader="none"/>
        </w:tabs>
        <w:spacing w:lineRule="auto" w:line="244" w:before="60" w:after="0"/>
        <w:ind w:left="581" w:right="398" w:hanging="0"/>
        <w:jc w:val="both"/>
        <w:rPr>
          <w:color w:val="000000"/>
          <w:sz w:val="20"/>
          <w:szCs w:val="20"/>
        </w:rPr>
      </w:pPr>
      <w:r>
        <w:rPr>
          <w:color w:val="000000"/>
          <w:sz w:val="20"/>
          <w:szCs w:val="20"/>
        </w:rPr>
        <w:t>¿C</w:t>
      </w:r>
      <w:r>
        <w:rPr>
          <w:color w:val="000000"/>
          <w:sz w:val="14"/>
          <w:szCs w:val="14"/>
        </w:rPr>
        <w:t>UÁLES SON LOS MOTIVOS POR LOS QUE UN PROYECTO PARTICIPANTE EN LA MODALIDAD DE PROYECTOS LOCALES E INTERLOCALES PUEDE SER RECHAZADO</w:t>
      </w:r>
      <w:r>
        <w:rPr>
          <w:color w:val="000000"/>
          <w:sz w:val="20"/>
          <w:szCs w:val="20"/>
        </w:rPr>
        <w:t>?</w:t>
      </w:r>
      <w:r>
        <w:rPr>
          <w:rFonts w:eastAsia="Times New Roman" w:cs="Times New Roman" w:ascii="Times New Roman" w:hAnsi="Times New Roman"/>
          <w:sz w:val="20"/>
          <w:szCs w:val="20"/>
        </w:rPr>
        <w:t xml:space="preserve">                                                                      </w:t>
      </w:r>
      <w:r>
        <w:rPr>
          <w:color w:val="000000"/>
          <w:sz w:val="20"/>
          <w:szCs w:val="20"/>
        </w:rPr>
        <w:t>40</w:t>
      </w:r>
    </w:p>
    <w:p>
      <w:pPr>
        <w:pStyle w:val="Normal"/>
        <w:numPr>
          <w:ilvl w:val="1"/>
          <w:numId w:val="10"/>
        </w:numPr>
        <w:pBdr/>
        <w:tabs>
          <w:tab w:val="clear" w:pos="720"/>
          <w:tab w:val="left" w:pos="948" w:leader="none"/>
          <w:tab w:val="left" w:pos="8829" w:leader="none"/>
        </w:tabs>
        <w:spacing w:lineRule="auto" w:line="244" w:before="59" w:after="0"/>
        <w:ind w:left="581" w:right="398" w:hanging="0"/>
        <w:jc w:val="both"/>
        <w:rPr>
          <w:color w:val="000000"/>
          <w:sz w:val="20"/>
          <w:szCs w:val="20"/>
        </w:rPr>
      </w:pPr>
      <w:r>
        <w:rPr>
          <w:color w:val="000000"/>
          <w:sz w:val="20"/>
          <w:szCs w:val="20"/>
        </w:rPr>
        <w:t>¿E</w:t>
      </w:r>
      <w:r>
        <w:rPr>
          <w:color w:val="000000"/>
          <w:sz w:val="14"/>
          <w:szCs w:val="14"/>
        </w:rPr>
        <w:t>N QUÉ CONSISTE EL PROCESO DE VERIFICACIÓN DE LA IDONEIDAD ADMINISTRATIVA DE LAS ENTIDADES PARTICIPANTES</w:t>
      </w:r>
      <w:r>
        <w:rPr>
          <w:color w:val="000000"/>
          <w:sz w:val="20"/>
          <w:szCs w:val="20"/>
        </w:rPr>
        <w:t>?</w:t>
      </w:r>
      <w:r>
        <w:rPr>
          <w:rFonts w:eastAsia="Times New Roman" w:cs="Times New Roman" w:ascii="Times New Roman" w:hAnsi="Times New Roman"/>
          <w:sz w:val="20"/>
          <w:szCs w:val="20"/>
        </w:rPr>
        <w:t xml:space="preserve">                                                                                                                          </w:t>
      </w:r>
      <w:r>
        <w:rPr>
          <w:color w:val="000000"/>
          <w:sz w:val="20"/>
          <w:szCs w:val="20"/>
        </w:rPr>
        <w:t>43</w:t>
      </w:r>
    </w:p>
    <w:p>
      <w:pPr>
        <w:pStyle w:val="Normal"/>
        <w:numPr>
          <w:ilvl w:val="1"/>
          <w:numId w:val="10"/>
        </w:numPr>
        <w:pBdr/>
        <w:tabs>
          <w:tab w:val="clear" w:pos="720"/>
          <w:tab w:val="left" w:pos="961" w:leader="none"/>
          <w:tab w:val="left" w:pos="8821" w:leader="none"/>
        </w:tabs>
        <w:spacing w:before="59" w:after="0"/>
        <w:ind w:left="960" w:hanging="380"/>
        <w:jc w:val="both"/>
        <w:rPr>
          <w:color w:val="000000"/>
          <w:sz w:val="20"/>
          <w:szCs w:val="20"/>
        </w:rPr>
      </w:pPr>
      <w:r>
        <w:rPr>
          <w:color w:val="000000"/>
          <w:sz w:val="20"/>
          <w:szCs w:val="20"/>
        </w:rPr>
        <w:t>¿E</w:t>
      </w:r>
      <w:r>
        <w:rPr>
          <w:color w:val="000000"/>
          <w:sz w:val="14"/>
          <w:szCs w:val="14"/>
        </w:rPr>
        <w:t xml:space="preserve">N QUÉ CONSISTE EL PROCESO DE EVALUACIÓN TÉCNICA DE LOS PROYECTOS </w:t>
      </w:r>
      <w:r>
        <w:rPr>
          <w:color w:val="000000"/>
          <w:sz w:val="20"/>
          <w:szCs w:val="20"/>
        </w:rPr>
        <w:t>H</w:t>
      </w:r>
      <w:r>
        <w:rPr>
          <w:color w:val="000000"/>
          <w:sz w:val="14"/>
          <w:szCs w:val="14"/>
        </w:rPr>
        <w:t>ABILITADOS</w:t>
      </w:r>
      <w:r>
        <w:rPr>
          <w:color w:val="000000"/>
          <w:sz w:val="20"/>
          <w:szCs w:val="20"/>
        </w:rPr>
        <w:t>-I</w:t>
      </w:r>
      <w:r>
        <w:rPr>
          <w:color w:val="000000"/>
          <w:sz w:val="14"/>
          <w:szCs w:val="14"/>
        </w:rPr>
        <w:t>DÓNEOS</w:t>
      </w:r>
      <w:r>
        <w:rPr>
          <w:color w:val="000000"/>
          <w:sz w:val="20"/>
          <w:szCs w:val="20"/>
        </w:rPr>
        <w:t>?</w:t>
      </w:r>
      <w:r>
        <w:rPr>
          <w:rFonts w:eastAsia="Times New Roman" w:cs="Times New Roman" w:ascii="Times New Roman" w:hAnsi="Times New Roman"/>
          <w:sz w:val="20"/>
          <w:szCs w:val="20"/>
        </w:rPr>
        <w:t xml:space="preserve"> </w:t>
      </w:r>
      <w:r>
        <w:rPr>
          <w:color w:val="000000"/>
          <w:sz w:val="20"/>
          <w:szCs w:val="20"/>
        </w:rPr>
        <w:t>45</w:t>
      </w:r>
    </w:p>
    <w:p>
      <w:pPr>
        <w:pStyle w:val="Normal"/>
        <w:numPr>
          <w:ilvl w:val="1"/>
          <w:numId w:val="10"/>
        </w:numPr>
        <w:pBdr/>
        <w:tabs>
          <w:tab w:val="clear" w:pos="720"/>
          <w:tab w:val="left" w:pos="956" w:leader="none"/>
          <w:tab w:val="left" w:pos="8819" w:leader="none"/>
        </w:tabs>
        <w:spacing w:before="67" w:after="0"/>
        <w:ind w:left="955" w:hanging="375"/>
        <w:jc w:val="both"/>
        <w:rPr>
          <w:color w:val="000000"/>
          <w:sz w:val="20"/>
          <w:szCs w:val="20"/>
        </w:rPr>
      </w:pPr>
      <w:r>
        <w:rPr>
          <w:color w:val="000000"/>
          <w:sz w:val="20"/>
          <w:szCs w:val="20"/>
        </w:rPr>
        <w:t>¿C</w:t>
      </w:r>
      <w:r>
        <w:rPr>
          <w:color w:val="000000"/>
          <w:sz w:val="14"/>
          <w:szCs w:val="14"/>
        </w:rPr>
        <w:t xml:space="preserve">ÓMO SE DEFINE QUÉ PROYECTOS </w:t>
      </w:r>
      <w:r>
        <w:rPr>
          <w:color w:val="000000"/>
          <w:sz w:val="20"/>
          <w:szCs w:val="20"/>
        </w:rPr>
        <w:t>H</w:t>
      </w:r>
      <w:r>
        <w:rPr>
          <w:color w:val="000000"/>
          <w:sz w:val="14"/>
          <w:szCs w:val="14"/>
        </w:rPr>
        <w:t>ABILITADOS</w:t>
      </w:r>
      <w:r>
        <w:rPr>
          <w:color w:val="000000"/>
          <w:sz w:val="20"/>
          <w:szCs w:val="20"/>
        </w:rPr>
        <w:t>-I</w:t>
      </w:r>
      <w:r>
        <w:rPr>
          <w:color w:val="000000"/>
          <w:sz w:val="14"/>
          <w:szCs w:val="14"/>
        </w:rPr>
        <w:t>DÓNEOS SON LLAMADOS A SUSTENTAR</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48</w:t>
      </w:r>
    </w:p>
    <w:p>
      <w:pPr>
        <w:sectPr>
          <w:footerReference w:type="default" r:id="rId3"/>
          <w:type w:val="nextPage"/>
          <w:pgSz w:w="12240" w:h="15840"/>
          <w:pgMar w:left="1480" w:right="1300" w:header="0" w:top="1500" w:footer="720" w:bottom="777" w:gutter="0"/>
          <w:pgNumType w:fmt="decimal"/>
          <w:formProt w:val="false"/>
          <w:textDirection w:val="lrTb"/>
          <w:docGrid w:type="default" w:linePitch="100" w:charSpace="4096"/>
        </w:sectPr>
        <w:pStyle w:val="Normal"/>
        <w:numPr>
          <w:ilvl w:val="1"/>
          <w:numId w:val="10"/>
        </w:numPr>
        <w:pBdr/>
        <w:tabs>
          <w:tab w:val="clear" w:pos="720"/>
          <w:tab w:val="left" w:pos="957" w:leader="none"/>
          <w:tab w:val="left" w:pos="8825" w:leader="none"/>
        </w:tabs>
        <w:spacing w:before="67" w:after="0"/>
        <w:ind w:left="956" w:hanging="376"/>
        <w:jc w:val="both"/>
        <w:rPr>
          <w:color w:val="000000"/>
          <w:sz w:val="20"/>
          <w:szCs w:val="20"/>
        </w:rPr>
      </w:pPr>
      <w:r>
        <w:rPr>
          <w:color w:val="000000"/>
          <w:sz w:val="20"/>
          <w:szCs w:val="20"/>
        </w:rPr>
        <w:t>¿C</w:t>
      </w:r>
      <w:r>
        <w:rPr>
          <w:color w:val="000000"/>
          <w:sz w:val="14"/>
          <w:szCs w:val="14"/>
        </w:rPr>
        <w:t>ÓMO SE CALIFICA LA SUSTENTACIÓN</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49</w:t>
      </w:r>
    </w:p>
    <w:p>
      <w:pPr>
        <w:pStyle w:val="Normal"/>
        <w:numPr>
          <w:ilvl w:val="1"/>
          <w:numId w:val="10"/>
        </w:numPr>
        <w:pBdr/>
        <w:tabs>
          <w:tab w:val="clear" w:pos="720"/>
          <w:tab w:val="left" w:pos="929" w:leader="none"/>
          <w:tab w:val="left" w:pos="8825" w:leader="none"/>
        </w:tabs>
        <w:spacing w:before="858" w:after="0"/>
        <w:ind w:left="928" w:hanging="348"/>
        <w:jc w:val="both"/>
        <w:rPr>
          <w:color w:val="000000"/>
          <w:sz w:val="20"/>
          <w:szCs w:val="20"/>
        </w:rPr>
      </w:pPr>
      <w:r>
        <w:rPr>
          <w:color w:val="000000"/>
          <w:sz w:val="20"/>
          <w:szCs w:val="20"/>
        </w:rPr>
        <w:t>¿C</w:t>
      </w:r>
      <w:r>
        <w:rPr>
          <w:color w:val="000000"/>
          <w:sz w:val="14"/>
          <w:szCs w:val="14"/>
        </w:rPr>
        <w:t>ÓMO SE SELECCIONAN LOS PROYECTOS A INCLUIR EN EL LISTADO DE PROYECTOS ELEGIBLES</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49</w:t>
      </w:r>
    </w:p>
    <w:p>
      <w:pPr>
        <w:pStyle w:val="Normal"/>
        <w:numPr>
          <w:ilvl w:val="0"/>
          <w:numId w:val="10"/>
        </w:numPr>
        <w:pBdr/>
        <w:tabs>
          <w:tab w:val="clear" w:pos="720"/>
          <w:tab w:val="left" w:pos="476" w:leader="none"/>
          <w:tab w:val="left" w:pos="8779" w:leader="none"/>
        </w:tabs>
        <w:spacing w:before="68" w:after="0"/>
        <w:ind w:left="475" w:hanging="255"/>
        <w:jc w:val="both"/>
        <w:rPr>
          <w:rFonts w:ascii="Tahoma" w:hAnsi="Tahoma" w:eastAsia="Tahoma" w:cs="Tahoma"/>
          <w:b/>
          <w:b/>
          <w:color w:val="372162"/>
        </w:rPr>
      </w:pPr>
      <w:r>
        <w:rPr>
          <w:rFonts w:eastAsia="Tahoma" w:cs="Tahoma" w:ascii="Tahoma" w:hAnsi="Tahoma"/>
          <w:b/>
          <w:color w:val="372162"/>
        </w:rPr>
        <w:t>A</w:t>
      </w:r>
      <w:r>
        <w:rPr>
          <w:rFonts w:eastAsia="Tahoma" w:cs="Tahoma" w:ascii="Tahoma" w:hAnsi="Tahoma"/>
          <w:b/>
          <w:color w:val="372162"/>
          <w:sz w:val="15"/>
          <w:szCs w:val="15"/>
        </w:rPr>
        <w:t>SIGNACIÓN DE RECURSOS SOBRE EL LISTADO DE PROYECTOS ELEGIBLES</w:t>
      </w:r>
      <w:r>
        <w:rPr>
          <w:rFonts w:eastAsia="Times New Roman" w:cs="Times New Roman" w:ascii="Times New Roman" w:hAnsi="Times New Roman"/>
          <w:b/>
          <w:color w:val="372162"/>
          <w:sz w:val="15"/>
          <w:szCs w:val="15"/>
        </w:rPr>
        <w:tab/>
      </w:r>
      <w:r>
        <w:rPr>
          <w:rFonts w:eastAsia="Tahoma" w:cs="Tahoma" w:ascii="Tahoma" w:hAnsi="Tahoma"/>
          <w:b/>
          <w:color w:val="372162"/>
        </w:rPr>
        <w:t>50</w:t>
      </w:r>
    </w:p>
    <w:p>
      <w:pPr>
        <w:pStyle w:val="Normal"/>
        <w:numPr>
          <w:ilvl w:val="1"/>
          <w:numId w:val="10"/>
        </w:numPr>
        <w:pBdr/>
        <w:tabs>
          <w:tab w:val="clear" w:pos="720"/>
          <w:tab w:val="left" w:pos="935" w:leader="none"/>
          <w:tab w:val="left" w:pos="8823" w:leader="none"/>
        </w:tabs>
        <w:spacing w:before="68" w:after="0"/>
        <w:ind w:left="934" w:hanging="354"/>
        <w:jc w:val="both"/>
        <w:rPr>
          <w:color w:val="000000"/>
          <w:sz w:val="20"/>
          <w:szCs w:val="20"/>
        </w:rPr>
      </w:pPr>
      <w:r>
        <w:rPr>
          <w:color w:val="000000"/>
          <w:sz w:val="20"/>
          <w:szCs w:val="20"/>
        </w:rPr>
        <w:t>¿C</w:t>
      </w:r>
      <w:r>
        <w:rPr>
          <w:color w:val="000000"/>
          <w:sz w:val="14"/>
          <w:szCs w:val="14"/>
        </w:rPr>
        <w:t>ÓMO SE REALIZA LA ASIGNACIÓN DE RECURSOS</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50</w:t>
      </w:r>
    </w:p>
    <w:p>
      <w:pPr>
        <w:pStyle w:val="Normal"/>
        <w:numPr>
          <w:ilvl w:val="1"/>
          <w:numId w:val="10"/>
        </w:numPr>
        <w:pBdr/>
        <w:tabs>
          <w:tab w:val="clear" w:pos="720"/>
          <w:tab w:val="left" w:pos="953" w:leader="none"/>
          <w:tab w:val="left" w:pos="8853" w:leader="none"/>
        </w:tabs>
        <w:spacing w:lineRule="auto" w:line="244" w:before="67" w:after="0"/>
        <w:ind w:left="581" w:right="398" w:hanging="0"/>
        <w:jc w:val="both"/>
        <w:rPr>
          <w:color w:val="000000"/>
          <w:sz w:val="20"/>
          <w:szCs w:val="20"/>
        </w:rPr>
      </w:pPr>
      <w:r>
        <w:rPr>
          <w:color w:val="000000"/>
          <w:sz w:val="20"/>
          <w:szCs w:val="20"/>
        </w:rPr>
        <w:t>¿C</w:t>
      </w:r>
      <w:r>
        <w:rPr>
          <w:color w:val="000000"/>
          <w:sz w:val="14"/>
          <w:szCs w:val="14"/>
        </w:rPr>
        <w:t>UÁLES SON LOS CRITERIOS DE DESEMPATE TENIDOS EN CUENTA DURANTE EL PROCESO DE ASIGNACIÓN DE RECURSOS</w:t>
      </w:r>
      <w:r>
        <w:rPr>
          <w:color w:val="000000"/>
          <w:sz w:val="20"/>
          <w:szCs w:val="20"/>
        </w:rPr>
        <w:t>?</w:t>
      </w:r>
      <w:r>
        <w:rPr>
          <w:rFonts w:eastAsia="Times New Roman" w:cs="Times New Roman" w:ascii="Times New Roman" w:hAnsi="Times New Roman"/>
          <w:sz w:val="20"/>
          <w:szCs w:val="20"/>
        </w:rPr>
        <w:t xml:space="preserve">                                                                                                                         </w:t>
      </w:r>
      <w:r>
        <w:rPr>
          <w:color w:val="000000"/>
          <w:sz w:val="20"/>
          <w:szCs w:val="20"/>
        </w:rPr>
        <w:t>51</w:t>
      </w:r>
    </w:p>
    <w:p>
      <w:pPr>
        <w:pStyle w:val="Normal"/>
        <w:numPr>
          <w:ilvl w:val="1"/>
          <w:numId w:val="10"/>
        </w:numPr>
        <w:pBdr/>
        <w:tabs>
          <w:tab w:val="clear" w:pos="720"/>
          <w:tab w:val="left" w:pos="949" w:leader="none"/>
          <w:tab w:val="left" w:pos="8853" w:leader="none"/>
        </w:tabs>
        <w:spacing w:lineRule="auto" w:line="244" w:before="59" w:after="0"/>
        <w:ind w:left="581" w:right="398" w:hanging="0"/>
        <w:jc w:val="both"/>
        <w:rPr>
          <w:color w:val="000000"/>
          <w:sz w:val="20"/>
          <w:szCs w:val="20"/>
        </w:rPr>
      </w:pPr>
      <w:r>
        <w:rPr>
          <w:color w:val="000000"/>
          <w:sz w:val="20"/>
          <w:szCs w:val="20"/>
        </w:rPr>
        <w:t>¿E</w:t>
      </w:r>
      <w:r>
        <w:rPr>
          <w:color w:val="000000"/>
          <w:sz w:val="14"/>
          <w:szCs w:val="14"/>
        </w:rPr>
        <w:t>N QUÉ CONSISTE LA VERIFICACIÓN DE INHABILIDADES E INCOMPATIBILIDADES DE LAS ENTIDADES CON PROYECTOS CON RECURSOS ASIGNADOS</w:t>
      </w:r>
      <w:r>
        <w:rPr>
          <w:color w:val="000000"/>
          <w:sz w:val="20"/>
          <w:szCs w:val="20"/>
        </w:rPr>
        <w:t>?</w:t>
      </w:r>
      <w:r>
        <w:rPr>
          <w:rFonts w:eastAsia="Times New Roman" w:cs="Times New Roman" w:ascii="Times New Roman" w:hAnsi="Times New Roman"/>
          <w:sz w:val="20"/>
          <w:szCs w:val="20"/>
        </w:rPr>
        <w:t xml:space="preserve">                                                                                               </w:t>
      </w:r>
      <w:r>
        <w:rPr>
          <w:color w:val="000000"/>
          <w:sz w:val="20"/>
          <w:szCs w:val="20"/>
        </w:rPr>
        <w:t>51</w:t>
      </w:r>
    </w:p>
    <w:p>
      <w:pPr>
        <w:pStyle w:val="Normal"/>
        <w:numPr>
          <w:ilvl w:val="0"/>
          <w:numId w:val="10"/>
        </w:numPr>
        <w:pBdr/>
        <w:tabs>
          <w:tab w:val="clear" w:pos="720"/>
          <w:tab w:val="left" w:pos="452" w:leader="none"/>
          <w:tab w:val="left" w:pos="8797" w:leader="none"/>
        </w:tabs>
        <w:spacing w:lineRule="auto" w:line="247" w:before="61" w:after="0"/>
        <w:ind w:left="221" w:right="398" w:hanging="0"/>
        <w:jc w:val="both"/>
        <w:rPr>
          <w:rFonts w:ascii="Tahoma" w:hAnsi="Tahoma" w:eastAsia="Tahoma" w:cs="Tahoma"/>
          <w:b/>
          <w:b/>
          <w:color w:val="372162"/>
        </w:rPr>
      </w:pPr>
      <w:r>
        <w:rPr>
          <w:rFonts w:eastAsia="Tahoma" w:cs="Tahoma" w:ascii="Tahoma" w:hAnsi="Tahoma"/>
          <w:b/>
          <w:color w:val="372162"/>
        </w:rPr>
        <w:t>P</w:t>
      </w:r>
      <w:r>
        <w:rPr>
          <w:rFonts w:eastAsia="Tahoma" w:cs="Tahoma" w:ascii="Tahoma" w:hAnsi="Tahoma"/>
          <w:b/>
          <w:color w:val="372162"/>
          <w:sz w:val="15"/>
          <w:szCs w:val="15"/>
        </w:rPr>
        <w:t>ROCESO PARA LA SUSCRIPCIÓN Y LEGALIZACIÓN DEL CONTRATO CON LA ENTIDAD QUE ACEPTA EL APOYO</w:t>
      </w:r>
      <w:r>
        <w:rPr>
          <w:rFonts w:eastAsia="Times New Roman" w:cs="Times New Roman" w:ascii="Times New Roman" w:hAnsi="Times New Roman"/>
          <w:b/>
          <w:color w:val="372162"/>
          <w:sz w:val="15"/>
          <w:szCs w:val="15"/>
        </w:rPr>
        <w:tab/>
      </w:r>
      <w:r>
        <w:rPr>
          <w:rFonts w:eastAsia="Tahoma" w:cs="Tahoma" w:ascii="Tahoma" w:hAnsi="Tahoma"/>
          <w:b/>
          <w:color w:val="372162"/>
        </w:rPr>
        <w:t>53</w:t>
      </w:r>
    </w:p>
    <w:p>
      <w:pPr>
        <w:pStyle w:val="Normal"/>
        <w:numPr>
          <w:ilvl w:val="1"/>
          <w:numId w:val="10"/>
        </w:numPr>
        <w:pBdr/>
        <w:tabs>
          <w:tab w:val="clear" w:pos="720"/>
          <w:tab w:val="left" w:pos="907" w:leader="none"/>
          <w:tab w:val="left" w:pos="8839" w:leader="none"/>
        </w:tabs>
        <w:spacing w:before="56" w:after="0"/>
        <w:ind w:left="906" w:hanging="326"/>
        <w:jc w:val="both"/>
        <w:rPr>
          <w:color w:val="000000"/>
          <w:sz w:val="20"/>
          <w:szCs w:val="20"/>
        </w:rPr>
      </w:pPr>
      <w:r>
        <w:rPr>
          <w:color w:val="000000"/>
          <w:sz w:val="20"/>
          <w:szCs w:val="20"/>
        </w:rPr>
        <w:t>¿C</w:t>
      </w:r>
      <w:r>
        <w:rPr>
          <w:color w:val="000000"/>
          <w:sz w:val="14"/>
          <w:szCs w:val="14"/>
        </w:rPr>
        <w:t>UÁL SERÁ EL TIEMPO DE EJECUCIÓN DE LOS PROYECTOS CON RECURSOS ASIGNADOS</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53</w:t>
      </w:r>
    </w:p>
    <w:p>
      <w:pPr>
        <w:pStyle w:val="Normal"/>
        <w:numPr>
          <w:ilvl w:val="1"/>
          <w:numId w:val="10"/>
        </w:numPr>
        <w:pBdr/>
        <w:tabs>
          <w:tab w:val="clear" w:pos="720"/>
          <w:tab w:val="left" w:pos="925" w:leader="none"/>
          <w:tab w:val="left" w:pos="8821" w:leader="none"/>
        </w:tabs>
        <w:spacing w:before="67" w:after="0"/>
        <w:ind w:left="924" w:hanging="344"/>
        <w:jc w:val="both"/>
        <w:rPr>
          <w:color w:val="000000"/>
          <w:sz w:val="20"/>
          <w:szCs w:val="20"/>
        </w:rPr>
      </w:pPr>
      <w:r>
        <w:rPr>
          <w:color w:val="000000"/>
          <w:sz w:val="20"/>
          <w:szCs w:val="20"/>
        </w:rPr>
        <w:t>¿C</w:t>
      </w:r>
      <w:r>
        <w:rPr>
          <w:color w:val="000000"/>
          <w:sz w:val="14"/>
          <w:szCs w:val="14"/>
        </w:rPr>
        <w:t>ÓMO SE ACEPTA EL APOYO ASIGNADO</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54</w:t>
      </w:r>
    </w:p>
    <w:p>
      <w:pPr>
        <w:pStyle w:val="Normal"/>
        <w:numPr>
          <w:ilvl w:val="1"/>
          <w:numId w:val="10"/>
        </w:numPr>
        <w:pBdr/>
        <w:tabs>
          <w:tab w:val="clear" w:pos="720"/>
          <w:tab w:val="left" w:pos="922" w:leader="none"/>
          <w:tab w:val="left" w:pos="8821" w:leader="none"/>
        </w:tabs>
        <w:spacing w:lineRule="auto" w:line="244" w:before="67" w:after="0"/>
        <w:ind w:left="581" w:right="398" w:hanging="0"/>
        <w:jc w:val="both"/>
        <w:rPr>
          <w:color w:val="000000"/>
          <w:sz w:val="20"/>
          <w:szCs w:val="20"/>
        </w:rPr>
      </w:pPr>
      <w:r>
        <w:rPr>
          <w:color w:val="000000"/>
          <w:sz w:val="20"/>
          <w:szCs w:val="20"/>
        </w:rPr>
        <w:t>¿E</w:t>
      </w:r>
      <w:r>
        <w:rPr>
          <w:color w:val="000000"/>
          <w:sz w:val="14"/>
          <w:szCs w:val="14"/>
        </w:rPr>
        <w:t>N QUÉ CONSISTE EL PROCESO DE CONCERTACIÓN DEL PRESUPUESTO DEL PROYECTO CON RECURSOS ASIGNADOS</w:t>
      </w:r>
      <w:r>
        <w:rPr>
          <w:color w:val="000000"/>
          <w:sz w:val="20"/>
          <w:szCs w:val="20"/>
        </w:rPr>
        <w:t>?</w:t>
      </w:r>
      <w:r>
        <w:rPr>
          <w:rFonts w:eastAsia="Times New Roman" w:cs="Times New Roman" w:ascii="Times New Roman" w:hAnsi="Times New Roman"/>
          <w:sz w:val="20"/>
          <w:szCs w:val="20"/>
        </w:rPr>
        <w:t xml:space="preserve">                                                                                                                                                </w:t>
      </w:r>
      <w:r>
        <w:rPr>
          <w:color w:val="000000"/>
          <w:sz w:val="20"/>
          <w:szCs w:val="20"/>
        </w:rPr>
        <w:t>54</w:t>
      </w:r>
    </w:p>
    <w:p>
      <w:pPr>
        <w:pStyle w:val="Normal"/>
        <w:numPr>
          <w:ilvl w:val="1"/>
          <w:numId w:val="10"/>
        </w:numPr>
        <w:pBdr/>
        <w:tabs>
          <w:tab w:val="clear" w:pos="720"/>
          <w:tab w:val="left" w:pos="935" w:leader="none"/>
          <w:tab w:val="left" w:pos="8831" w:leader="none"/>
        </w:tabs>
        <w:spacing w:lineRule="auto" w:line="244" w:before="59" w:after="0"/>
        <w:ind w:left="581" w:right="398" w:hanging="0"/>
        <w:jc w:val="both"/>
        <w:rPr>
          <w:color w:val="000000"/>
          <w:sz w:val="20"/>
          <w:szCs w:val="20"/>
        </w:rPr>
      </w:pPr>
      <w:r>
        <w:rPr>
          <w:color w:val="000000"/>
          <w:sz w:val="20"/>
          <w:szCs w:val="20"/>
        </w:rPr>
        <w:t>¿E</w:t>
      </w:r>
      <w:r>
        <w:rPr>
          <w:color w:val="000000"/>
          <w:sz w:val="14"/>
          <w:szCs w:val="14"/>
        </w:rPr>
        <w:t>N QUÉ CONSISTE EL PROCESO DE SUSCRIPCIÓN Y LEGALIZACIÓN DEL CONTRATO CON LA ENTIDAD QUE ACEPTA EL APOYO</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55</w:t>
      </w:r>
    </w:p>
    <w:p>
      <w:pPr>
        <w:pStyle w:val="Normal"/>
        <w:numPr>
          <w:ilvl w:val="1"/>
          <w:numId w:val="10"/>
        </w:numPr>
        <w:pBdr/>
        <w:tabs>
          <w:tab w:val="clear" w:pos="720"/>
          <w:tab w:val="left" w:pos="929" w:leader="none"/>
          <w:tab w:val="left" w:pos="8830" w:leader="none"/>
        </w:tabs>
        <w:spacing w:before="60" w:after="0"/>
        <w:ind w:left="928" w:hanging="348"/>
        <w:jc w:val="both"/>
        <w:rPr>
          <w:color w:val="000000"/>
          <w:sz w:val="20"/>
          <w:szCs w:val="20"/>
        </w:rPr>
      </w:pPr>
      <w:r>
        <w:rPr>
          <w:color w:val="000000"/>
          <w:sz w:val="20"/>
          <w:szCs w:val="20"/>
        </w:rPr>
        <w:t>¿C</w:t>
      </w:r>
      <w:r>
        <w:rPr>
          <w:color w:val="000000"/>
          <w:sz w:val="14"/>
          <w:szCs w:val="14"/>
        </w:rPr>
        <w:t>ÓMO Y CUÁNDO SE REALIZA EL DESEMBOLSO DE LOS RECURSOS ASIGNADOS AL PROYECTO</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56</w:t>
      </w:r>
    </w:p>
    <w:p>
      <w:pPr>
        <w:pStyle w:val="Normal"/>
        <w:numPr>
          <w:ilvl w:val="1"/>
          <w:numId w:val="10"/>
        </w:numPr>
        <w:pBdr/>
        <w:tabs>
          <w:tab w:val="clear" w:pos="720"/>
          <w:tab w:val="left" w:pos="931" w:leader="none"/>
          <w:tab w:val="left" w:pos="8842" w:leader="none"/>
        </w:tabs>
        <w:spacing w:before="67" w:after="0"/>
        <w:ind w:left="930" w:hanging="350"/>
        <w:jc w:val="both"/>
        <w:rPr>
          <w:color w:val="000000"/>
          <w:sz w:val="20"/>
          <w:szCs w:val="20"/>
        </w:rPr>
      </w:pPr>
      <w:r>
        <w:rPr>
          <w:color w:val="000000"/>
          <w:sz w:val="20"/>
          <w:szCs w:val="20"/>
        </w:rPr>
        <w:t>¿C</w:t>
      </w:r>
      <w:r>
        <w:rPr>
          <w:color w:val="000000"/>
          <w:sz w:val="14"/>
          <w:szCs w:val="14"/>
        </w:rPr>
        <w:t>UÁLES SON LOS DERECHOS DE LAS ENTIDADES APOYADAS</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57</w:t>
      </w:r>
    </w:p>
    <w:p>
      <w:pPr>
        <w:pStyle w:val="Normal"/>
        <w:numPr>
          <w:ilvl w:val="1"/>
          <w:numId w:val="10"/>
        </w:numPr>
        <w:pBdr/>
        <w:tabs>
          <w:tab w:val="clear" w:pos="720"/>
          <w:tab w:val="left" w:pos="903" w:leader="none"/>
          <w:tab w:val="left" w:pos="8829" w:leader="none"/>
        </w:tabs>
        <w:spacing w:before="67" w:after="0"/>
        <w:ind w:left="902" w:hanging="322"/>
        <w:jc w:val="both"/>
        <w:rPr>
          <w:color w:val="000000"/>
          <w:sz w:val="20"/>
          <w:szCs w:val="20"/>
        </w:rPr>
      </w:pPr>
      <w:r>
        <w:rPr>
          <w:color w:val="000000"/>
          <w:sz w:val="20"/>
          <w:szCs w:val="20"/>
        </w:rPr>
        <w:t>¿C</w:t>
      </w:r>
      <w:r>
        <w:rPr>
          <w:color w:val="000000"/>
          <w:sz w:val="14"/>
          <w:szCs w:val="14"/>
        </w:rPr>
        <w:t>UÁLES SON LOS DEBERES DE LAS ENTIDADES APOYADAS</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58</w:t>
      </w:r>
    </w:p>
    <w:p>
      <w:pPr>
        <w:pStyle w:val="Normal"/>
        <w:numPr>
          <w:ilvl w:val="0"/>
          <w:numId w:val="10"/>
        </w:numPr>
        <w:pBdr/>
        <w:tabs>
          <w:tab w:val="clear" w:pos="720"/>
          <w:tab w:val="left" w:pos="480" w:leader="none"/>
          <w:tab w:val="left" w:pos="8811" w:leader="none"/>
        </w:tabs>
        <w:spacing w:before="67" w:after="0"/>
        <w:ind w:left="479" w:hanging="259"/>
        <w:jc w:val="both"/>
        <w:rPr>
          <w:rFonts w:ascii="Tahoma" w:hAnsi="Tahoma" w:eastAsia="Tahoma" w:cs="Tahoma"/>
          <w:b/>
          <w:b/>
          <w:color w:val="372162"/>
        </w:rPr>
      </w:pPr>
      <w:r>
        <w:rPr>
          <w:rFonts w:eastAsia="Tahoma" w:cs="Tahoma" w:ascii="Tahoma" w:hAnsi="Tahoma"/>
          <w:b/>
          <w:color w:val="372162"/>
        </w:rPr>
        <w:t>D</w:t>
      </w:r>
      <w:r>
        <w:rPr>
          <w:rFonts w:eastAsia="Tahoma" w:cs="Tahoma" w:ascii="Tahoma" w:hAnsi="Tahoma"/>
          <w:b/>
          <w:color w:val="372162"/>
          <w:sz w:val="15"/>
          <w:szCs w:val="15"/>
        </w:rPr>
        <w:t>EBERES LA ENTIDAD QUE OTORGA EL APOYO</w:t>
      </w:r>
      <w:r>
        <w:rPr>
          <w:rFonts w:eastAsia="Times New Roman" w:cs="Times New Roman" w:ascii="Times New Roman" w:hAnsi="Times New Roman"/>
          <w:b/>
          <w:color w:val="372162"/>
          <w:sz w:val="15"/>
          <w:szCs w:val="15"/>
        </w:rPr>
        <w:tab/>
      </w:r>
      <w:r>
        <w:rPr>
          <w:rFonts w:eastAsia="Tahoma" w:cs="Tahoma" w:ascii="Tahoma" w:hAnsi="Tahoma"/>
          <w:b/>
          <w:color w:val="372162"/>
        </w:rPr>
        <w:t>62</w:t>
      </w:r>
    </w:p>
    <w:p>
      <w:pPr>
        <w:sectPr>
          <w:headerReference w:type="default" r:id="rId4"/>
          <w:footerReference w:type="default" r:id="rId5"/>
          <w:type w:val="nextPage"/>
          <w:pgSz w:w="12240" w:h="15840"/>
          <w:pgMar w:left="1480" w:right="1300" w:header="30" w:top="1500" w:footer="1701" w:bottom="1900" w:gutter="0"/>
          <w:pgNumType w:fmt="decimal"/>
          <w:formProt w:val="false"/>
          <w:textDirection w:val="lrTb"/>
          <w:docGrid w:type="default" w:linePitch="100" w:charSpace="4096"/>
        </w:sectPr>
        <w:pStyle w:val="Normal"/>
        <w:numPr>
          <w:ilvl w:val="1"/>
          <w:numId w:val="10"/>
        </w:numPr>
        <w:pBdr/>
        <w:tabs>
          <w:tab w:val="clear" w:pos="720"/>
          <w:tab w:val="left" w:pos="936" w:leader="none"/>
          <w:tab w:val="left" w:pos="8834" w:leader="none"/>
        </w:tabs>
        <w:spacing w:before="69" w:after="0"/>
        <w:jc w:val="both"/>
        <w:rPr>
          <w:color w:val="000000"/>
          <w:sz w:val="20"/>
          <w:szCs w:val="20"/>
        </w:rPr>
      </w:pPr>
      <w:r>
        <w:rPr>
          <w:color w:val="000000"/>
          <w:sz w:val="20"/>
          <w:szCs w:val="20"/>
        </w:rPr>
        <w:t>¿C</w:t>
      </w:r>
      <w:r>
        <w:rPr>
          <w:color w:val="000000"/>
          <w:sz w:val="14"/>
          <w:szCs w:val="14"/>
        </w:rPr>
        <w:t xml:space="preserve">UÁLES SON LOS DEBERES DE LA ENTIDAD DEL </w:t>
      </w:r>
      <w:r>
        <w:rPr>
          <w:color w:val="000000"/>
          <w:sz w:val="20"/>
          <w:szCs w:val="20"/>
        </w:rPr>
        <w:t>S</w:t>
      </w:r>
      <w:r>
        <w:rPr>
          <w:color w:val="000000"/>
          <w:sz w:val="14"/>
          <w:szCs w:val="14"/>
        </w:rPr>
        <w:t xml:space="preserve">ECTOR </w:t>
      </w:r>
      <w:r>
        <w:rPr>
          <w:color w:val="000000"/>
          <w:sz w:val="20"/>
          <w:szCs w:val="20"/>
        </w:rPr>
        <w:t>C</w:t>
      </w:r>
      <w:r>
        <w:rPr>
          <w:color w:val="000000"/>
          <w:sz w:val="14"/>
          <w:szCs w:val="14"/>
        </w:rPr>
        <w:t>ULTURA QUE OTORGA EL APOYO</w:t>
      </w:r>
      <w:r>
        <w:rPr>
          <w:color w:val="000000"/>
          <w:sz w:val="20"/>
          <w:szCs w:val="20"/>
        </w:rPr>
        <w:t>?</w:t>
      </w:r>
      <w:r>
        <w:rPr>
          <w:rFonts w:eastAsia="Times New Roman" w:cs="Times New Roman" w:ascii="Times New Roman" w:hAnsi="Times New Roman"/>
          <w:color w:val="000000"/>
          <w:sz w:val="20"/>
          <w:szCs w:val="20"/>
        </w:rPr>
        <w:tab/>
      </w:r>
      <w:r>
        <w:rPr>
          <w:color w:val="000000"/>
          <w:sz w:val="20"/>
          <w:szCs w:val="20"/>
        </w:rPr>
        <w:t>62</w:t>
      </w:r>
    </w:p>
    <w:p>
      <w:pPr>
        <w:pStyle w:val="Normal"/>
        <w:pBdr/>
        <w:ind w:left="875" w:hanging="0"/>
        <w:rPr>
          <w:color w:val="000000"/>
          <w:sz w:val="20"/>
          <w:szCs w:val="20"/>
        </w:rPr>
      </w:pPr>
      <w:r>
        <w:rPr>
          <w:color w:val="000000"/>
          <w:sz w:val="20"/>
          <w:szCs w:val="20"/>
        </w:rPr>
      </w:r>
    </w:p>
    <w:p>
      <w:pPr>
        <w:pStyle w:val="Normal"/>
        <w:numPr>
          <w:ilvl w:val="0"/>
          <w:numId w:val="7"/>
        </w:numPr>
        <w:pBdr/>
        <w:tabs>
          <w:tab w:val="clear" w:pos="720"/>
          <w:tab w:val="left" w:pos="1032" w:leader="none"/>
          <w:tab w:val="left" w:pos="1033" w:leader="none"/>
        </w:tabs>
        <w:spacing w:before="324" w:after="0"/>
        <w:jc w:val="both"/>
        <w:rPr>
          <w:rFonts w:ascii="Tahoma" w:hAnsi="Tahoma" w:eastAsia="Tahoma" w:cs="Tahoma"/>
          <w:b/>
          <w:b/>
          <w:color w:val="EC52C1"/>
          <w:sz w:val="40"/>
          <w:szCs w:val="40"/>
        </w:rPr>
      </w:pPr>
      <w:r>
        <w:rPr>
          <w:rFonts w:eastAsia="Lexend Light" w:cs="Lexend Light" w:ascii="Lexend Light" w:hAnsi="Lexend Light"/>
          <w:b/>
          <w:color w:val="372162"/>
          <w:sz w:val="32"/>
          <w:szCs w:val="32"/>
        </w:rPr>
        <w:t>Introducción</w:t>
      </w:r>
    </w:p>
    <w:p>
      <w:pPr>
        <w:pStyle w:val="Normal"/>
        <w:pBdr/>
        <w:spacing w:before="9" w:after="0"/>
        <w:rPr>
          <w:rFonts w:ascii="Lexend Light" w:hAnsi="Lexend Light" w:eastAsia="Lexend Light" w:cs="Lexend Light"/>
          <w:b/>
          <w:b/>
          <w:color w:val="000000"/>
        </w:rPr>
      </w:pPr>
      <w:r>
        <w:rPr>
          <w:rFonts w:eastAsia="Lexend Light" w:cs="Lexend Light" w:ascii="Lexend Light" w:hAnsi="Lexend Light"/>
          <w:b/>
          <w:color w:val="000000"/>
        </w:rPr>
      </w:r>
    </w:p>
    <w:p>
      <w:pPr>
        <w:pStyle w:val="Normal"/>
        <w:pBdr/>
        <w:spacing w:lineRule="auto" w:line="367"/>
        <w:ind w:left="221" w:right="401" w:hanging="0"/>
        <w:jc w:val="both"/>
        <w:rPr>
          <w:rFonts w:ascii="Lexend Light" w:hAnsi="Lexend Light" w:eastAsia="Lexend Light" w:cs="Lexend Light"/>
        </w:rPr>
      </w:pPr>
      <w:r>
        <w:rPr>
          <w:rFonts w:eastAsia="Lexend Light" w:cs="Lexend Light" w:ascii="Lexend Light" w:hAnsi="Lexend Light"/>
          <w:color w:val="000000"/>
        </w:rPr>
        <w:t>El sector cultura de Bogotá D.C. se ha consolidado y fortalecido</w:t>
      </w:r>
      <w:r>
        <w:rPr>
          <w:rFonts w:eastAsia="Lexend Light" w:cs="Lexend Light" w:ascii="Lexend Light" w:hAnsi="Lexend Light"/>
        </w:rPr>
        <w:t xml:space="preserve"> ampliando el arte, la cultura, el patrimonio y la creación hacia nuevos horizontes, en un proceso de</w:t>
      </w:r>
      <w:r>
        <w:rPr>
          <w:rFonts w:eastAsia="Lexend Light" w:cs="Lexend Light" w:ascii="Lexend Light" w:hAnsi="Lexend Light"/>
          <w:color w:val="000000"/>
        </w:rPr>
        <w:t xml:space="preserve"> interacción de fuerzas y agendas de distinta índole. Lo anterior</w:t>
      </w:r>
      <w:r>
        <w:rPr>
          <w:rFonts w:eastAsia="Lexend Light" w:cs="Lexend Light" w:ascii="Lexend Light" w:hAnsi="Lexend Light"/>
        </w:rPr>
        <w:t xml:space="preserve">, </w:t>
      </w:r>
      <w:r>
        <w:rPr>
          <w:rFonts w:eastAsia="Lexend Light" w:cs="Lexend Light" w:ascii="Lexend Light" w:hAnsi="Lexend Light"/>
          <w:color w:val="000000"/>
        </w:rPr>
        <w:t>no solo desde las instituciones pública</w:t>
      </w:r>
      <w:r>
        <w:rPr>
          <w:rFonts w:eastAsia="Lexend Light" w:cs="Lexend Light" w:ascii="Lexend Light" w:hAnsi="Lexend Light"/>
        </w:rPr>
        <w:t xml:space="preserve">s, sino también desde </w:t>
      </w:r>
      <w:r>
        <w:rPr>
          <w:rFonts w:eastAsia="Lexend Light" w:cs="Lexend Light" w:ascii="Lexend Light" w:hAnsi="Lexend Light"/>
          <w:color w:val="000000"/>
        </w:rPr>
        <w:t xml:space="preserve">los aportes, experiencias y trayectorias de los agentes y </w:t>
      </w:r>
      <w:r>
        <w:rPr>
          <w:rFonts w:eastAsia="Lexend Light" w:cs="Lexend Light" w:ascii="Lexend Light" w:hAnsi="Lexend Light"/>
        </w:rPr>
        <w:t>organizaciones</w:t>
      </w:r>
      <w:r>
        <w:rPr>
          <w:rFonts w:eastAsia="Lexend Light" w:cs="Lexend Light" w:ascii="Lexend Light" w:hAnsi="Lexend Light"/>
          <w:color w:val="000000"/>
        </w:rPr>
        <w:t xml:space="preserve"> </w:t>
      </w:r>
      <w:r>
        <w:rPr>
          <w:rFonts w:eastAsia="Lexend Light" w:cs="Lexend Light" w:ascii="Lexend Light" w:hAnsi="Lexend Light"/>
        </w:rPr>
        <w:t>del sector, en las distintas instancias de participación establecidas.</w:t>
      </w:r>
    </w:p>
    <w:p>
      <w:pPr>
        <w:pStyle w:val="Normal"/>
        <w:pBdr/>
        <w:spacing w:lineRule="auto" w:line="367"/>
        <w:ind w:left="221" w:right="401" w:hanging="0"/>
        <w:jc w:val="both"/>
        <w:rPr>
          <w:rFonts w:ascii="Lexend Light" w:hAnsi="Lexend Light" w:eastAsia="Lexend Light" w:cs="Lexend Light"/>
        </w:rPr>
      </w:pPr>
      <w:r>
        <w:rPr>
          <w:rFonts w:eastAsia="Lexend Light" w:cs="Lexend Light" w:ascii="Lexend Light" w:hAnsi="Lexend Light"/>
        </w:rPr>
      </w:r>
    </w:p>
    <w:p>
      <w:pPr>
        <w:pStyle w:val="Normal"/>
        <w:pBdr/>
        <w:spacing w:lineRule="auto" w:line="367"/>
        <w:ind w:left="221" w:right="401" w:hanging="0"/>
        <w:jc w:val="both"/>
        <w:rPr>
          <w:rFonts w:ascii="Lexend Light" w:hAnsi="Lexend Light" w:eastAsia="Lexend Light" w:cs="Lexend Light"/>
        </w:rPr>
      </w:pPr>
      <w:r>
        <w:rPr>
          <w:rFonts w:eastAsia="Lexend Light" w:cs="Lexend Light" w:ascii="Lexend Light" w:hAnsi="Lexend Light"/>
        </w:rPr>
        <w:t>E</w:t>
      </w:r>
      <w:r>
        <w:rPr>
          <w:rFonts w:eastAsia="Lexend Light" w:cs="Lexend Light" w:ascii="Lexend Light" w:hAnsi="Lexend Light"/>
          <w:color w:val="000000"/>
        </w:rPr>
        <w:t xml:space="preserve">l Programa Distrital de Apoyos Concertados (PDAC) valora y acompaña la autonomía y corresponsabilidad de las organizaciones del sector cultura que han </w:t>
      </w:r>
      <w:r>
        <w:rPr>
          <w:rFonts w:eastAsia="Lexend Light" w:cs="Lexend Light" w:ascii="Lexend Light" w:hAnsi="Lexend Light"/>
        </w:rPr>
        <w:t>contribuido con su accionar, al ejercicio pleno de los derechos culturales, a la transformación cultural, a la construcción de tejido social y a la consolidación de la memoria histórica, de los y las habitantes de los barrios y veredas en las diferentes localidades de la ciudad.</w:t>
      </w:r>
    </w:p>
    <w:p>
      <w:pPr>
        <w:pStyle w:val="Normal"/>
        <w:pBdr/>
        <w:spacing w:lineRule="auto" w:line="367" w:before="168" w:after="0"/>
        <w:ind w:left="221" w:right="403" w:hanging="0"/>
        <w:jc w:val="both"/>
        <w:rPr>
          <w:rFonts w:ascii="Lexend Light" w:hAnsi="Lexend Light" w:eastAsia="Lexend Light" w:cs="Lexend Light"/>
          <w:color w:val="000000"/>
        </w:rPr>
      </w:pPr>
      <w:r>
        <w:rPr>
          <w:rFonts w:eastAsia="Lexend Light" w:cs="Lexend Light" w:ascii="Lexend Light" w:hAnsi="Lexend Light"/>
          <w:color w:val="000000"/>
        </w:rPr>
        <w:t xml:space="preserve">Es así como, a diferencia de los otros programas de fomento, el PDAC establece una relación horizontal con organizaciones y agentes que trabajan por la dinamización y materialización de los derechos culturales, a través de actividades autónomas y con comunidades que les reconocen </w:t>
      </w:r>
      <w:r>
        <w:rPr>
          <w:rFonts w:eastAsia="Lexend Light" w:cs="Lexend Light" w:ascii="Lexend Light" w:hAnsi="Lexend Light"/>
        </w:rPr>
        <w:t xml:space="preserve">su </w:t>
      </w:r>
      <w:r>
        <w:rPr>
          <w:rFonts w:eastAsia="Lexend Light" w:cs="Lexend Light" w:ascii="Lexend Light" w:hAnsi="Lexend Light"/>
          <w:color w:val="000000"/>
        </w:rPr>
        <w:t>experiencia y valor público. Contar con un programa de estas características permite dimensionar</w:t>
      </w:r>
      <w:r>
        <w:rPr>
          <w:rFonts w:eastAsia="Lexend Light" w:cs="Lexend Light" w:ascii="Lexend Light" w:hAnsi="Lexend Light"/>
        </w:rPr>
        <w:t xml:space="preserve"> a</w:t>
      </w:r>
      <w:r>
        <w:rPr>
          <w:rFonts w:eastAsia="Lexend Light" w:cs="Lexend Light" w:ascii="Lexend Light" w:hAnsi="Lexend Light"/>
          <w:color w:val="000000"/>
        </w:rPr>
        <w:t>l sector en su profundidad y madurez</w:t>
      </w:r>
      <w:r>
        <w:rPr>
          <w:rFonts w:eastAsia="Lexend Light" w:cs="Lexend Light" w:ascii="Lexend Light" w:hAnsi="Lexend Light"/>
        </w:rPr>
        <w:t>, así como a</w:t>
      </w:r>
      <w:r>
        <w:rPr>
          <w:rFonts w:eastAsia="Lexend Light" w:cs="Lexend Light" w:ascii="Lexend Light" w:hAnsi="Lexend Light"/>
          <w:color w:val="000000"/>
        </w:rPr>
        <w:t>l papel del fomento en fortalecer y acompañar iniciativas que puedan convertirse en referentes e inspiración para proyectos emergentes tanto a nivel local c</w:t>
      </w:r>
      <w:r>
        <w:rPr>
          <w:rFonts w:eastAsia="Lexend Light" w:cs="Lexend Light" w:ascii="Lexend Light" w:hAnsi="Lexend Light"/>
        </w:rPr>
        <w:t>omo metropolitano</w:t>
      </w:r>
      <w:r>
        <w:rPr>
          <w:rFonts w:eastAsia="Lexend Light" w:cs="Lexend Light" w:ascii="Lexend Light" w:hAnsi="Lexend Light"/>
          <w:color w:val="000000"/>
        </w:rPr>
        <w:t>.</w:t>
      </w:r>
    </w:p>
    <w:p>
      <w:pPr>
        <w:pStyle w:val="Normal"/>
        <w:pBdr/>
        <w:spacing w:lineRule="auto" w:line="367" w:before="170" w:after="0"/>
        <w:ind w:left="221" w:right="401" w:hanging="0"/>
        <w:jc w:val="both"/>
        <w:rPr>
          <w:rFonts w:ascii="Lexend Light" w:hAnsi="Lexend Light" w:eastAsia="Lexend Light" w:cs="Lexend Light"/>
          <w:color w:val="000000"/>
        </w:rPr>
      </w:pPr>
      <w:bookmarkStart w:id="0" w:name="_heading=h.gjdgxs"/>
      <w:bookmarkEnd w:id="0"/>
      <w:r>
        <w:rPr>
          <w:rFonts w:eastAsia="Lexend Light" w:cs="Lexend Light" w:ascii="Lexend Light" w:hAnsi="Lexend Light"/>
          <w:color w:val="000000"/>
        </w:rPr>
        <w:t xml:space="preserve">El PDAC conforma un listado de proyectos elegibles en cada una de sus modalidades de participación: proyectos metropolitanos (convocatoria por invitación) o proyectos locales e interlocales (convocatoria abierta), presentados por entidades privadas sin ánimo de lucro, de reconocida experiencia e idoneidad. De acuerdo con su naturaleza y características, los proyectos presentados pueden inscribirse en alguna de las </w:t>
      </w:r>
      <w:r>
        <w:rPr>
          <w:rFonts w:eastAsia="Lexend Light" w:cs="Lexend Light" w:ascii="Lexend Light" w:hAnsi="Lexend Light"/>
        </w:rPr>
        <w:t xml:space="preserve">ocho </w:t>
      </w:r>
      <w:r>
        <w:rPr>
          <w:rFonts w:eastAsia="Lexend Light" w:cs="Lexend Light" w:ascii="Lexend Light" w:hAnsi="Lexend Light"/>
          <w:color w:val="000000"/>
        </w:rPr>
        <w:t>(</w:t>
      </w:r>
      <w:r>
        <w:rPr>
          <w:rFonts w:eastAsia="Lexend Light" w:cs="Lexend Light" w:ascii="Lexend Light" w:hAnsi="Lexend Light"/>
        </w:rPr>
        <w:t>8</w:t>
      </w:r>
      <w:r>
        <w:rPr>
          <w:rFonts w:eastAsia="Lexend Light" w:cs="Lexend Light" w:ascii="Lexend Light" w:hAnsi="Lexend Light"/>
          <w:color w:val="000000"/>
        </w:rPr>
        <w:t xml:space="preserve">) diferentes líneas de participación contempladas para cada modalidad del PDAC. </w:t>
      </w:r>
    </w:p>
    <w:p>
      <w:pPr>
        <w:sectPr>
          <w:headerReference w:type="default" r:id="rId6"/>
          <w:footerReference w:type="default" r:id="rId7"/>
          <w:type w:val="nextPage"/>
          <w:pgSz w:w="12240" w:h="15840"/>
          <w:pgMar w:left="1480" w:right="1300" w:header="30" w:top="1500" w:footer="1701" w:bottom="1980" w:gutter="0"/>
          <w:pgNumType w:fmt="decimal"/>
          <w:formProt w:val="false"/>
          <w:textDirection w:val="lrTb"/>
          <w:docGrid w:type="default" w:linePitch="100" w:charSpace="4096"/>
        </w:sectPr>
        <w:pStyle w:val="Normal"/>
        <w:pBdr/>
        <w:spacing w:lineRule="auto" w:line="367" w:before="163" w:after="0"/>
        <w:ind w:left="221" w:right="399" w:hanging="0"/>
        <w:jc w:val="both"/>
        <w:rPr>
          <w:rFonts w:ascii="Lexend Light" w:hAnsi="Lexend Light" w:eastAsia="Lexend Light" w:cs="Lexend Light"/>
          <w:color w:val="000000"/>
        </w:rPr>
      </w:pPr>
      <w:r>
        <w:rPr>
          <w:rFonts w:eastAsia="Lexend Light" w:cs="Lexend Light" w:ascii="Lexend Light" w:hAnsi="Lexend Light"/>
          <w:color w:val="000000"/>
        </w:rPr>
        <w:t xml:space="preserve">En este documento se encuentran las Condiciones Generales de Participación del PDAC, en su modalidad proyectos locales e interlocales para la convocatoria 2025. </w:t>
      </w:r>
      <w:r>
        <w:rPr>
          <w:rFonts w:eastAsia="Lexend Light" w:cs="Lexend Light" w:ascii="Lexend Light" w:hAnsi="Lexend Light"/>
        </w:rPr>
        <w:t>Además</w:t>
      </w:r>
      <w:r>
        <w:rPr>
          <w:rFonts w:eastAsia="Lexend Light" w:cs="Lexend Light" w:ascii="Lexend Light" w:hAnsi="Lexend Light"/>
          <w:color w:val="000000"/>
        </w:rPr>
        <w:t xml:space="preserve"> de estar alineadas con los objetivos del nuevo </w:t>
      </w:r>
      <w:r>
        <w:rPr>
          <w:rFonts w:eastAsia="Lexend Light" w:cs="Lexend Light" w:ascii="Lexend Light" w:hAnsi="Lexend Light"/>
          <w:i/>
          <w:color w:val="000000"/>
        </w:rPr>
        <w:t>Plan Distrital de Desarrollo, “Bogotá Camina Segura”, 2024-2027,</w:t>
      </w:r>
      <w:r>
        <w:rPr>
          <w:rFonts w:eastAsia="Lexend Light" w:cs="Lexend Light" w:ascii="Lexend Light" w:hAnsi="Lexend Light"/>
          <w:i/>
        </w:rPr>
        <w:t xml:space="preserve"> </w:t>
      </w:r>
      <w:r>
        <w:rPr>
          <w:rFonts w:eastAsia="Lexend Light" w:cs="Lexend Light" w:ascii="Lexend Light" w:hAnsi="Lexend Light"/>
          <w:color w:val="000000"/>
        </w:rPr>
        <w:t>estas condiciones responden a nuestro interés como sector, de lograr el objetivo del fomento a la cultura en Bogotá D.C. y nos permiten entregar a la ciudadanía, una guía accesible y clara de los criterios que conﬁguran el PDAC y de los procesos que deﬁnen su convocatoria en la modalidad de proyectos locales e interlocales.  </w:t>
      </w:r>
    </w:p>
    <w:p>
      <w:pPr>
        <w:pStyle w:val="Ttulo1"/>
        <w:numPr>
          <w:ilvl w:val="0"/>
          <w:numId w:val="7"/>
        </w:numPr>
        <w:tabs>
          <w:tab w:val="clear" w:pos="720"/>
          <w:tab w:val="left" w:pos="641" w:leader="none"/>
        </w:tabs>
        <w:ind w:left="641" w:hanging="420"/>
        <w:rPr>
          <w:rFonts w:ascii="Lexend" w:hAnsi="Lexend" w:eastAsia="Lexend" w:cs="Lexend"/>
          <w:color w:val="EC52C1"/>
        </w:rPr>
      </w:pPr>
      <w:r>
        <w:rPr>
          <w:rFonts w:eastAsia="Lexend" w:cs="Lexend" w:ascii="Lexend" w:hAnsi="Lexend"/>
          <w:color w:val="2E5395"/>
        </w:rPr>
        <w:t>Programa Distrital de Apoyos Concertados – PDAC</w:t>
      </w:r>
    </w:p>
    <w:p>
      <w:pPr>
        <w:pStyle w:val="Normal"/>
        <w:pBdr/>
        <w:spacing w:before="5" w:after="0"/>
        <w:rPr>
          <w:rFonts w:ascii="Tahoma" w:hAnsi="Tahoma" w:eastAsia="Tahoma" w:cs="Tahoma"/>
          <w:b/>
          <w:b/>
          <w:color w:val="000000"/>
          <w:sz w:val="38"/>
          <w:szCs w:val="38"/>
        </w:rPr>
      </w:pPr>
      <w:r>
        <w:rPr>
          <w:rFonts w:eastAsia="Tahoma" w:cs="Tahoma" w:ascii="Tahoma" w:hAnsi="Tahoma"/>
          <w:b/>
          <w:color w:val="000000"/>
          <w:sz w:val="38"/>
          <w:szCs w:val="38"/>
        </w:rPr>
      </w:r>
    </w:p>
    <w:p>
      <w:pPr>
        <w:pStyle w:val="Ttulo2"/>
        <w:numPr>
          <w:ilvl w:val="1"/>
          <w:numId w:val="7"/>
        </w:numPr>
        <w:tabs>
          <w:tab w:val="clear" w:pos="720"/>
          <w:tab w:val="left" w:pos="1075" w:leader="none"/>
          <w:tab w:val="left" w:pos="1076" w:leader="none"/>
        </w:tabs>
        <w:spacing w:lineRule="auto" w:line="247" w:before="0" w:after="0"/>
        <w:ind w:left="1076" w:right="398" w:hanging="855"/>
        <w:rPr>
          <w:rFonts w:ascii="Lexend Light" w:hAnsi="Lexend Light" w:eastAsia="Lexend Light" w:cs="Lexend Light"/>
          <w:color w:val="F150D4"/>
        </w:rPr>
      </w:pPr>
      <w:r>
        <w:rPr>
          <w:rFonts w:eastAsia="Lexend Light" w:cs="Lexend Light" w:ascii="Lexend Light" w:hAnsi="Lexend Light"/>
          <w:color w:val="2E5395"/>
        </w:rPr>
        <w:t>¿Qué es el Programa Distrital de Apoyos Concertados – PDAC y cuáles son sus objetivos?</w:t>
      </w:r>
    </w:p>
    <w:p>
      <w:pPr>
        <w:pStyle w:val="Normal"/>
        <w:pBdr/>
        <w:spacing w:lineRule="auto" w:line="367" w:before="236" w:after="0"/>
        <w:ind w:left="221" w:right="407" w:hanging="0"/>
        <w:jc w:val="both"/>
        <w:rPr>
          <w:rFonts w:ascii="Lexend Light" w:hAnsi="Lexend Light" w:eastAsia="Lexend Light" w:cs="Lexend Light"/>
          <w:color w:val="000000"/>
        </w:rPr>
      </w:pPr>
      <w:r>
        <w:rPr>
          <w:rFonts w:eastAsia="Lexend Light" w:cs="Lexend Light" w:ascii="Lexend Light" w:hAnsi="Lexend Light"/>
          <w:color w:val="000000"/>
        </w:rPr>
        <w:t xml:space="preserve">El PDAC es una de las estrategias de fomento del sector cultura de Bogotá D. C., que articula los recursos, esfuerzos y voluntades de la Secretaría Distrital de </w:t>
      </w:r>
      <w:r>
        <w:rPr>
          <w:rFonts w:eastAsia="Lexend Light" w:cs="Lexend Light" w:ascii="Lexend Light" w:hAnsi="Lexend Light"/>
        </w:rPr>
        <w:t>C</w:t>
      </w:r>
      <w:r>
        <w:rPr>
          <w:rFonts w:eastAsia="Lexend Light" w:cs="Lexend Light" w:ascii="Lexend Light" w:hAnsi="Lexend Light"/>
          <w:color w:val="000000"/>
        </w:rPr>
        <w:t>ultura Recreación y Deporte-SCRD y de sus entidades adscritas, con el objetivo de:</w:t>
      </w:r>
    </w:p>
    <w:p>
      <w:pPr>
        <w:pStyle w:val="Normal"/>
        <w:numPr>
          <w:ilvl w:val="0"/>
          <w:numId w:val="5"/>
        </w:numPr>
        <w:pBdr/>
        <w:tabs>
          <w:tab w:val="clear" w:pos="720"/>
          <w:tab w:val="left" w:pos="581" w:leader="none"/>
        </w:tabs>
        <w:spacing w:lineRule="auto" w:line="367" w:before="241" w:after="0"/>
        <w:ind w:left="581" w:right="401" w:hanging="360"/>
        <w:jc w:val="both"/>
        <w:rPr>
          <w:rFonts w:ascii="Lexend Light" w:hAnsi="Lexend Light" w:eastAsia="Lexend Light" w:cs="Lexend Light"/>
        </w:rPr>
      </w:pPr>
      <w:r>
        <w:rPr>
          <w:rFonts w:eastAsia="Lexend Light" w:cs="Lexend Light" w:ascii="Lexend Light" w:hAnsi="Lexend Light"/>
          <w:color w:val="000000"/>
        </w:rPr>
        <w:t>Promover y fortalecer la gestión e implementación de proyectos de iniciativa privada, de interés público y de carácter artístico, cultural, patrimonial y creativo, a ejecutarse en Bogotá D.C., acordes con el Plan de Desarrollo Distrital vigente, mediante convocatoria a personas jurídicas legalmente constituidas como entidades sin ánimo de lucro, cuyo domicilio principal o de alguna de sus sedes, se encuentre ubicado en Bogotá D.C.</w:t>
      </w:r>
    </w:p>
    <w:p>
      <w:pPr>
        <w:pStyle w:val="Normal"/>
        <w:numPr>
          <w:ilvl w:val="0"/>
          <w:numId w:val="5"/>
        </w:numPr>
        <w:pBdr/>
        <w:tabs>
          <w:tab w:val="clear" w:pos="720"/>
          <w:tab w:val="left" w:pos="581" w:leader="none"/>
        </w:tabs>
        <w:spacing w:lineRule="auto" w:line="367" w:before="242" w:after="0"/>
        <w:ind w:left="581" w:right="399" w:hanging="360"/>
        <w:jc w:val="both"/>
        <w:rPr>
          <w:rFonts w:ascii="Lexend Light" w:hAnsi="Lexend Light" w:eastAsia="Lexend Light" w:cs="Lexend Light"/>
        </w:rPr>
      </w:pPr>
      <w:r>
        <w:rPr>
          <w:rFonts w:eastAsia="Lexend Light" w:cs="Lexend Light" w:ascii="Lexend Light" w:hAnsi="Lexend Light"/>
          <w:color w:val="000000"/>
        </w:rPr>
        <w:t>Contribuir al acceso y disfrute de los derechos culturales de los y las habitantes de Bogotá D.C., incrementando la oferta de actividades artísticas, culturales, patrimoniales y creativas y propiciando espacios de encuentro, fortalecimiento del tejido social y reconocimiento del otro.</w:t>
      </w:r>
    </w:p>
    <w:p>
      <w:pPr>
        <w:pStyle w:val="Normal"/>
        <w:numPr>
          <w:ilvl w:val="0"/>
          <w:numId w:val="5"/>
        </w:numPr>
        <w:pBdr/>
        <w:tabs>
          <w:tab w:val="clear" w:pos="720"/>
          <w:tab w:val="left" w:pos="581" w:leader="none"/>
        </w:tabs>
        <w:spacing w:lineRule="auto" w:line="367" w:before="242" w:after="0"/>
        <w:ind w:left="581" w:right="399" w:hanging="360"/>
        <w:jc w:val="both"/>
        <w:rPr>
          <w:rFonts w:ascii="Lexend Light" w:hAnsi="Lexend Light" w:eastAsia="Lexend Light" w:cs="Lexend Light"/>
        </w:rPr>
      </w:pPr>
      <w:r>
        <w:rPr>
          <w:rFonts w:eastAsia="Lexend Light" w:cs="Lexend Light" w:ascii="Lexend Light" w:hAnsi="Lexend Light"/>
          <w:color w:val="000000"/>
        </w:rPr>
        <w:t>Reconocer la experiencia e idoneidad de las entidades sin ánimo de lucro del sector cultura de Bogotá D.C., apoyando sus proyectos para contribuir así, al fortalecimiento y a la sostenibilidad del ecosistema artístico, cultural, patrimonial y creativo de la ciudad.</w:t>
      </w:r>
    </w:p>
    <w:p>
      <w:pPr>
        <w:pStyle w:val="Normal"/>
        <w:numPr>
          <w:ilvl w:val="0"/>
          <w:numId w:val="5"/>
        </w:numPr>
        <w:pBdr/>
        <w:tabs>
          <w:tab w:val="clear" w:pos="720"/>
          <w:tab w:val="left" w:pos="581" w:leader="none"/>
        </w:tabs>
        <w:spacing w:lineRule="auto" w:line="367" w:before="242" w:after="0"/>
        <w:ind w:left="581" w:right="399" w:hanging="360"/>
        <w:jc w:val="both"/>
        <w:rPr>
          <w:rFonts w:ascii="Lexend Light" w:hAnsi="Lexend Light" w:eastAsia="Lexend Light" w:cs="Lexend Light"/>
        </w:rPr>
      </w:pPr>
      <w:r>
        <w:rPr>
          <w:rFonts w:eastAsia="Lexend Light" w:cs="Lexend Light" w:ascii="Lexend Light" w:hAnsi="Lexend Light"/>
          <w:color w:val="000000"/>
        </w:rPr>
        <w:t>Propiciar alianzas entre la institucionalidad y las entidades sin ánimo de lucro de carácter artístico, cultural, patrimonial y creativo de Bogotá D.C., con el ﬁn de ampliar el impacto de sus proyectos en la ciudad.</w:t>
      </w:r>
    </w:p>
    <w:p>
      <w:pPr>
        <w:pStyle w:val="Ttulo2"/>
        <w:numPr>
          <w:ilvl w:val="1"/>
          <w:numId w:val="7"/>
        </w:numPr>
        <w:tabs>
          <w:tab w:val="clear" w:pos="720"/>
          <w:tab w:val="left" w:pos="1075" w:leader="none"/>
          <w:tab w:val="left" w:pos="1076" w:leader="none"/>
        </w:tabs>
        <w:spacing w:lineRule="auto" w:line="247" w:before="0" w:after="0"/>
        <w:ind w:left="1076" w:right="398" w:hanging="855"/>
        <w:rPr>
          <w:rFonts w:ascii="Lexend Light" w:hAnsi="Lexend Light" w:eastAsia="Lexend Light" w:cs="Lexend Light"/>
          <w:color w:val="2E5395"/>
        </w:rPr>
      </w:pPr>
      <w:r>
        <w:rPr>
          <w:rFonts w:eastAsia="Lexend Light" w:cs="Lexend Light" w:ascii="Lexend Light" w:hAnsi="Lexend Light"/>
          <w:color w:val="2E5395"/>
        </w:rPr>
        <w:t>¿Cuál es el fundamento normativo del PDAC?</w:t>
      </w:r>
    </w:p>
    <w:p>
      <w:pPr>
        <w:pStyle w:val="Normal"/>
        <w:pBdr/>
        <w:spacing w:before="3" w:after="0"/>
        <w:rPr>
          <w:rFonts w:ascii="Tahoma" w:hAnsi="Tahoma" w:eastAsia="Tahoma" w:cs="Tahoma"/>
          <w:b/>
          <w:b/>
          <w:color w:val="000000"/>
          <w:sz w:val="35"/>
          <w:szCs w:val="35"/>
        </w:rPr>
      </w:pPr>
      <w:r>
        <w:rPr>
          <w:rFonts w:eastAsia="Tahoma" w:cs="Tahoma" w:ascii="Tahoma" w:hAnsi="Tahoma"/>
          <w:b/>
          <w:color w:val="000000"/>
          <w:sz w:val="35"/>
          <w:szCs w:val="35"/>
        </w:rPr>
      </w:r>
    </w:p>
    <w:p>
      <w:pPr>
        <w:pStyle w:val="Normal"/>
        <w:pBdr/>
        <w:spacing w:lineRule="auto" w:line="367"/>
        <w:ind w:left="221" w:right="400" w:hanging="0"/>
        <w:jc w:val="both"/>
        <w:rPr>
          <w:rFonts w:ascii="Lexend Light" w:hAnsi="Lexend Light" w:eastAsia="Lexend Light" w:cs="Lexend Light"/>
          <w:color w:val="000000"/>
        </w:rPr>
      </w:pPr>
      <w:r>
        <w:rPr>
          <w:rFonts w:eastAsia="Lexend Light" w:cs="Lexend Light" w:ascii="Lexend Light" w:hAnsi="Lexend Light"/>
          <w:color w:val="000000"/>
        </w:rPr>
        <w:t>Es importante que conozcas el sustento normativo que permite a la SCRD y a sus entidades adscritas, implementar el PDAC y en particular, desarrollar las convocatorias de la modalidad de proyectos locales e interlocales:</w:t>
      </w:r>
    </w:p>
    <w:p>
      <w:pPr>
        <w:pStyle w:val="Normal"/>
        <w:numPr>
          <w:ilvl w:val="0"/>
          <w:numId w:val="5"/>
        </w:numPr>
        <w:pBdr/>
        <w:tabs>
          <w:tab w:val="clear" w:pos="720"/>
          <w:tab w:val="left" w:pos="581" w:leader="none"/>
        </w:tabs>
        <w:spacing w:lineRule="auto" w:line="367" w:before="162" w:after="0"/>
        <w:ind w:left="581" w:right="410" w:hanging="360"/>
        <w:jc w:val="both"/>
        <w:rPr>
          <w:rFonts w:ascii="Lexend Light" w:hAnsi="Lexend Light" w:eastAsia="Lexend Light" w:cs="Lexend Light"/>
        </w:rPr>
      </w:pPr>
      <w:r>
        <w:rPr>
          <w:rFonts w:eastAsia="Lexend" w:cs="Lexend" w:ascii="Lexend" w:hAnsi="Lexend"/>
          <w:b/>
          <w:color w:val="ED4FD0"/>
        </w:rPr>
        <w:t>Constitución Política de Colombia. Artículos 70, 71 y 72</w:t>
      </w:r>
      <w:r>
        <w:rPr>
          <w:rFonts w:eastAsia="Lexend Light" w:cs="Lexend Light" w:ascii="Lexend Light" w:hAnsi="Lexend Light"/>
          <w:color w:val="000000"/>
        </w:rPr>
        <w:t>. Por medio de los cuales se dictan normas sobre patrimonio cultural, fomento y estímulos a la cultura.</w:t>
      </w:r>
    </w:p>
    <w:p>
      <w:pPr>
        <w:pStyle w:val="Normal"/>
        <w:numPr>
          <w:ilvl w:val="0"/>
          <w:numId w:val="5"/>
        </w:numPr>
        <w:tabs>
          <w:tab w:val="clear" w:pos="720"/>
          <w:tab w:val="left" w:pos="581" w:leader="none"/>
        </w:tabs>
        <w:spacing w:lineRule="auto" w:line="367" w:before="99" w:after="0"/>
        <w:ind w:left="581" w:right="402" w:hanging="360"/>
        <w:jc w:val="both"/>
        <w:rPr>
          <w:rFonts w:ascii="Lexend Light" w:hAnsi="Lexend Light" w:eastAsia="Lexend Light" w:cs="Lexend Light"/>
        </w:rPr>
      </w:pPr>
      <w:r>
        <w:rPr>
          <w:rFonts w:eastAsia="Lexend" w:cs="Lexend" w:ascii="Lexend" w:hAnsi="Lexend"/>
          <w:b/>
          <w:color w:val="ED4FD0"/>
        </w:rPr>
        <w:t>Constitución Política de Colombia. Artículo 355.</w:t>
      </w:r>
      <w:r>
        <w:rPr>
          <w:rFonts w:eastAsia="Lexend Light" w:cs="Lexend Light" w:ascii="Lexend Light" w:hAnsi="Lexend Light"/>
        </w:rPr>
        <w:t xml:space="preserve"> Por medio del cual se autoriza al gobierno, en los niveles nacional, departamental, distrital y municipal para celebrar contratos con entidades privadas sin ánimo de lucro y de reconocida idoneidad para impulsar programas y actividades de interés público previstas en los planes de desarrollo del respectivo gobierno.</w:t>
      </w:r>
    </w:p>
    <w:p>
      <w:pPr>
        <w:pStyle w:val="Normal"/>
        <w:numPr>
          <w:ilvl w:val="0"/>
          <w:numId w:val="5"/>
        </w:numPr>
        <w:tabs>
          <w:tab w:val="clear" w:pos="720"/>
          <w:tab w:val="left" w:pos="581" w:leader="none"/>
        </w:tabs>
        <w:spacing w:lineRule="auto" w:line="367" w:before="99" w:after="0"/>
        <w:ind w:left="581" w:right="402" w:hanging="360"/>
        <w:jc w:val="both"/>
        <w:rPr>
          <w:rFonts w:ascii="Lexend Light" w:hAnsi="Lexend Light" w:eastAsia="Lexend Light" w:cs="Lexend Light"/>
        </w:rPr>
      </w:pPr>
      <w:r>
        <w:rPr>
          <w:rFonts w:eastAsia="Lexend" w:cs="Lexend" w:ascii="Lexend" w:hAnsi="Lexend"/>
          <w:b/>
          <w:color w:val="ED4FD0"/>
        </w:rPr>
        <w:t>Ley 23 de 1982</w:t>
      </w:r>
      <w:r>
        <w:rPr>
          <w:rFonts w:eastAsia="Lexend Light" w:cs="Lexend Light" w:ascii="Lexend Light" w:hAnsi="Lexend Light"/>
        </w:rPr>
        <w:t>. Sobre derechos de autor.</w:t>
      </w:r>
    </w:p>
    <w:p>
      <w:pPr>
        <w:pStyle w:val="Normal"/>
        <w:numPr>
          <w:ilvl w:val="0"/>
          <w:numId w:val="5"/>
        </w:numPr>
        <w:tabs>
          <w:tab w:val="clear" w:pos="720"/>
          <w:tab w:val="left" w:pos="581" w:leader="none"/>
        </w:tabs>
        <w:spacing w:lineRule="auto" w:line="367" w:before="2" w:after="0"/>
        <w:ind w:left="581" w:right="413" w:hanging="360"/>
        <w:jc w:val="both"/>
        <w:rPr>
          <w:rFonts w:ascii="Lexend Light" w:hAnsi="Lexend Light" w:eastAsia="Lexend Light" w:cs="Lexend Light"/>
        </w:rPr>
      </w:pPr>
      <w:r>
        <w:rPr>
          <w:rFonts w:eastAsia="Lexend" w:cs="Lexend" w:ascii="Lexend" w:hAnsi="Lexend"/>
          <w:b/>
          <w:color w:val="ED4FD0"/>
        </w:rPr>
        <w:t>Ley 80 de 1993</w:t>
      </w:r>
      <w:r>
        <w:rPr>
          <w:rFonts w:eastAsia="Lexend Light" w:cs="Lexend Light" w:ascii="Lexend Light" w:hAnsi="Lexend Light"/>
        </w:rPr>
        <w:t>. Por la cual se expide el Estatuto General de Contratación de la Administración pública.</w:t>
      </w:r>
    </w:p>
    <w:p>
      <w:pPr>
        <w:pStyle w:val="Normal"/>
        <w:numPr>
          <w:ilvl w:val="0"/>
          <w:numId w:val="5"/>
        </w:numPr>
        <w:tabs>
          <w:tab w:val="clear" w:pos="720"/>
          <w:tab w:val="left" w:pos="581" w:leader="none"/>
        </w:tabs>
        <w:spacing w:lineRule="auto" w:line="367" w:before="1" w:after="0"/>
        <w:ind w:left="581" w:right="406" w:hanging="360"/>
        <w:jc w:val="both"/>
        <w:rPr>
          <w:rFonts w:ascii="Lexend Light" w:hAnsi="Lexend Light" w:eastAsia="Lexend Light" w:cs="Lexend Light"/>
        </w:rPr>
      </w:pPr>
      <w:r>
        <w:rPr>
          <w:rFonts w:eastAsia="Lexend" w:cs="Lexend" w:ascii="Lexend" w:hAnsi="Lexend"/>
          <w:b/>
          <w:color w:val="ED4FD0"/>
        </w:rPr>
        <w:t>Ley 136 de 1994</w:t>
      </w:r>
      <w:r>
        <w:rPr>
          <w:rFonts w:eastAsia="Lexend" w:cs="Lexend" w:ascii="Lexend" w:hAnsi="Lexend"/>
          <w:color w:val="ED4FD0"/>
        </w:rPr>
        <w:t>.</w:t>
      </w:r>
      <w:r>
        <w:rPr>
          <w:rFonts w:eastAsia="Lexend Light" w:cs="Lexend Light" w:ascii="Lexend Light" w:hAnsi="Lexend Light"/>
          <w:b/>
        </w:rPr>
        <w:t xml:space="preserve"> </w:t>
      </w:r>
      <w:r>
        <w:rPr>
          <w:rFonts w:eastAsia="Lexend Light" w:cs="Lexend Light" w:ascii="Lexend Light" w:hAnsi="Lexend Light"/>
        </w:rPr>
        <w:t>Por la cual se dictan normas tendientes a modernizar la organización y el funcionamiento de los municipios.</w:t>
      </w:r>
    </w:p>
    <w:p>
      <w:pPr>
        <w:pStyle w:val="Normal"/>
        <w:numPr>
          <w:ilvl w:val="0"/>
          <w:numId w:val="5"/>
        </w:numPr>
        <w:tabs>
          <w:tab w:val="clear" w:pos="720"/>
          <w:tab w:val="left" w:pos="581" w:leader="none"/>
        </w:tabs>
        <w:spacing w:lineRule="auto" w:line="360" w:before="1" w:after="0"/>
        <w:ind w:left="581" w:right="406" w:hanging="360"/>
        <w:jc w:val="both"/>
        <w:rPr>
          <w:rFonts w:ascii="Lexend Light" w:hAnsi="Lexend Light" w:eastAsia="Lexend Light" w:cs="Lexend Light"/>
        </w:rPr>
      </w:pPr>
      <w:r>
        <w:rPr>
          <w:rFonts w:eastAsia="Lexend" w:cs="Lexend" w:ascii="Lexend" w:hAnsi="Lexend"/>
          <w:b/>
          <w:color w:val="ED4FD0"/>
        </w:rPr>
        <w:t>Ley 397 de 1997</w:t>
      </w:r>
      <w:r>
        <w:rPr>
          <w:rFonts w:eastAsia="Lexend Light" w:cs="Lexend Light" w:ascii="Lexend Light" w:hAnsi="Lexend Light"/>
        </w:rPr>
        <w:t xml:space="preserve">. Ley General de </w:t>
      </w:r>
      <w:r>
        <w:rPr>
          <w:rFonts w:eastAsia="Lexend Light" w:cs="Lexend Light" w:ascii="Lexend Light" w:hAnsi="Lexend Light"/>
          <w:color w:val="000000"/>
        </w:rPr>
        <w:t>Cultura. Por la cual se desarrollan los artículos 70, 71 y 72 y demás artículos concordantes de la Constitución Política y se dictan normas sobre patrimonio cultural, fomentos y estímulos a la cultura. Artículos 17 y 18. Del fomento y los estímulos a la creación, a la investigación y a la actividad artística y cultural.</w:t>
      </w:r>
    </w:p>
    <w:p>
      <w:pPr>
        <w:pStyle w:val="Normal"/>
        <w:numPr>
          <w:ilvl w:val="0"/>
          <w:numId w:val="5"/>
        </w:numPr>
        <w:pBdr/>
        <w:tabs>
          <w:tab w:val="clear" w:pos="720"/>
          <w:tab w:val="left" w:pos="581" w:leader="none"/>
        </w:tabs>
        <w:spacing w:lineRule="auto" w:line="360" w:before="4" w:after="0"/>
        <w:ind w:left="581" w:right="404" w:hanging="360"/>
        <w:jc w:val="both"/>
        <w:rPr>
          <w:rFonts w:ascii="Lexend Light" w:hAnsi="Lexend Light" w:eastAsia="Lexend Light" w:cs="Lexend Light"/>
        </w:rPr>
      </w:pPr>
      <w:r>
        <w:rPr>
          <w:rFonts w:eastAsia="Lexend" w:cs="Lexend" w:ascii="Lexend" w:hAnsi="Lexend"/>
          <w:b/>
          <w:color w:val="ED4FD0"/>
        </w:rPr>
        <w:t xml:space="preserve">Ley 1150 del 2007. </w:t>
      </w:r>
      <w:r>
        <w:rPr>
          <w:rFonts w:eastAsia="Lexend Light" w:cs="Lexend Light" w:ascii="Lexend Light" w:hAnsi="Lexend Light"/>
        </w:rPr>
        <w:t>Por medio de la cual se introducen medidas para la eficiencia y la transparencia en la Ley 80 de 1993 y se dictan otras disposiciones generales sobre la contratación con Recursos Públicos</w:t>
      </w:r>
      <w:r>
        <w:rPr>
          <w:rFonts w:eastAsia="Arial" w:cs="Arial" w:ascii="Arial" w:hAnsi="Arial"/>
          <w:b/>
          <w:color w:val="333333"/>
          <w:sz w:val="25"/>
          <w:szCs w:val="25"/>
          <w:highlight w:val="white"/>
        </w:rPr>
        <w:t>.</w:t>
      </w:r>
    </w:p>
    <w:p>
      <w:pPr>
        <w:pStyle w:val="Normal"/>
        <w:numPr>
          <w:ilvl w:val="0"/>
          <w:numId w:val="5"/>
        </w:numPr>
        <w:pBdr/>
        <w:tabs>
          <w:tab w:val="clear" w:pos="720"/>
          <w:tab w:val="left" w:pos="581" w:leader="none"/>
        </w:tabs>
        <w:spacing w:lineRule="auto" w:line="360" w:before="4" w:after="0"/>
        <w:ind w:left="581" w:right="404" w:hanging="360"/>
        <w:jc w:val="both"/>
        <w:rPr>
          <w:rFonts w:ascii="Lexend Light" w:hAnsi="Lexend Light" w:eastAsia="Lexend Light" w:cs="Lexend Light"/>
        </w:rPr>
      </w:pPr>
      <w:r>
        <w:rPr>
          <w:rFonts w:eastAsia="Lexend" w:cs="Lexend" w:ascii="Lexend" w:hAnsi="Lexend"/>
          <w:b/>
          <w:color w:val="ED4FD0"/>
        </w:rPr>
        <w:t>Ley 1185 de 2008</w:t>
      </w:r>
      <w:r>
        <w:rPr>
          <w:rFonts w:eastAsia="Lexend Light" w:cs="Lexend Light" w:ascii="Lexend Light" w:hAnsi="Lexend Light"/>
          <w:b/>
          <w:color w:val="EC4ED0"/>
        </w:rPr>
        <w:t xml:space="preserve">. </w:t>
      </w:r>
      <w:r>
        <w:rPr>
          <w:rFonts w:eastAsia="Lexend Light" w:cs="Lexend Light" w:ascii="Lexend Light" w:hAnsi="Lexend Light"/>
          <w:color w:val="000000"/>
        </w:rPr>
        <w:t>Por la cual se modiﬁca y adiciona la Ley 397 de 1997 –Ley General de Cultura y se dictan otras disposiciones.</w:t>
      </w:r>
    </w:p>
    <w:p>
      <w:pPr>
        <w:pStyle w:val="Normal"/>
        <w:numPr>
          <w:ilvl w:val="0"/>
          <w:numId w:val="5"/>
        </w:numPr>
        <w:tabs>
          <w:tab w:val="clear" w:pos="720"/>
          <w:tab w:val="left" w:pos="581" w:leader="none"/>
        </w:tabs>
        <w:spacing w:lineRule="auto" w:line="360" w:before="99" w:after="0"/>
        <w:jc w:val="both"/>
        <w:rPr>
          <w:rFonts w:ascii="Lexend Light" w:hAnsi="Lexend Light" w:eastAsia="Lexend Light" w:cs="Lexend Light"/>
        </w:rPr>
      </w:pPr>
      <w:r>
        <w:rPr>
          <w:rFonts w:eastAsia="Lexend" w:cs="Lexend" w:ascii="Lexend" w:hAnsi="Lexend"/>
          <w:b/>
          <w:color w:val="ED4FD0"/>
        </w:rPr>
        <w:t>Ley 1493 de 2011</w:t>
      </w:r>
      <w:r>
        <w:rPr>
          <w:rFonts w:eastAsia="Lexend Light" w:cs="Lexend Light" w:ascii="Lexend Light" w:hAnsi="Lexend Light"/>
        </w:rPr>
        <w:t>. Por la cual se toman medidas para formalizar el sector del espectáculo público de las artes escénicas, se otorgan competencias de inspección, vigilancia y control sobre las sociedades de gestión colectiva y se dictan otras disposiciones y sus decretos reglamentarios.</w:t>
      </w:r>
    </w:p>
    <w:p>
      <w:pPr>
        <w:pStyle w:val="Normal"/>
        <w:numPr>
          <w:ilvl w:val="0"/>
          <w:numId w:val="5"/>
        </w:numPr>
        <w:pBdr/>
        <w:tabs>
          <w:tab w:val="clear" w:pos="720"/>
          <w:tab w:val="left" w:pos="581" w:leader="none"/>
        </w:tabs>
        <w:spacing w:lineRule="auto" w:line="360" w:before="99" w:after="0"/>
        <w:jc w:val="both"/>
        <w:rPr>
          <w:rFonts w:ascii="Lexend Light" w:hAnsi="Lexend Light" w:eastAsia="Lexend Light" w:cs="Lexend Light"/>
        </w:rPr>
      </w:pPr>
      <w:r>
        <w:rPr>
          <w:rFonts w:eastAsia="Lexend" w:cs="Lexend" w:ascii="Lexend" w:hAnsi="Lexend"/>
          <w:b/>
          <w:color w:val="ED4FD0"/>
        </w:rPr>
        <w:t>Ley 1551 de 2012</w:t>
      </w:r>
      <w:r>
        <w:rPr>
          <w:rFonts w:eastAsia="Lexend Light" w:cs="Lexend Light" w:ascii="Lexend Light" w:hAnsi="Lexend Light"/>
          <w:color w:val="000000"/>
        </w:rPr>
        <w:t>. Por la cual se modiﬁca la Ley 136 de 1994.</w:t>
      </w:r>
    </w:p>
    <w:p>
      <w:pPr>
        <w:pStyle w:val="Normal"/>
        <w:numPr>
          <w:ilvl w:val="0"/>
          <w:numId w:val="5"/>
        </w:numPr>
        <w:pBdr/>
        <w:tabs>
          <w:tab w:val="clear" w:pos="720"/>
          <w:tab w:val="left" w:pos="581" w:leader="none"/>
        </w:tabs>
        <w:spacing w:lineRule="auto" w:line="360" w:before="99" w:after="0"/>
        <w:jc w:val="both"/>
        <w:rPr>
          <w:rFonts w:ascii="Lexend Light" w:hAnsi="Lexend Light" w:eastAsia="Lexend Light" w:cs="Lexend Light"/>
        </w:rPr>
      </w:pPr>
      <w:r>
        <w:rPr>
          <w:rFonts w:eastAsia="Lexend" w:cs="Lexend" w:ascii="Lexend" w:hAnsi="Lexend"/>
          <w:b/>
          <w:color w:val="ED4FD0"/>
        </w:rPr>
        <w:t>Ley estatutaria 1584 del 2012.</w:t>
      </w:r>
      <w:r>
        <w:rPr>
          <w:rFonts w:eastAsia="Lexend Light" w:cs="Lexend Light" w:ascii="Lexend Light" w:hAnsi="Lexend Light"/>
        </w:rPr>
        <w:t xml:space="preserve"> Por medio de la cual se dictan las disposiciones generales para la protección de datos personales.</w:t>
      </w:r>
    </w:p>
    <w:p>
      <w:pPr>
        <w:pStyle w:val="Normal"/>
        <w:numPr>
          <w:ilvl w:val="0"/>
          <w:numId w:val="5"/>
        </w:numPr>
        <w:tabs>
          <w:tab w:val="clear" w:pos="720"/>
          <w:tab w:val="left" w:pos="581" w:leader="none"/>
        </w:tabs>
        <w:spacing w:lineRule="auto" w:line="367" w:before="2" w:after="0"/>
        <w:ind w:left="581" w:right="403" w:hanging="360"/>
        <w:jc w:val="both"/>
        <w:rPr>
          <w:rFonts w:ascii="Lexend Light" w:hAnsi="Lexend Light" w:eastAsia="Lexend Light" w:cs="Lexend Light"/>
        </w:rPr>
      </w:pPr>
      <w:r>
        <w:rPr>
          <w:rFonts w:eastAsia="Lexend" w:cs="Lexend" w:ascii="Lexend" w:hAnsi="Lexend"/>
          <w:b/>
          <w:color w:val="ED4FD0"/>
        </w:rPr>
        <w:t>Decreto 019 de 2012.</w:t>
      </w:r>
      <w:r>
        <w:rPr>
          <w:rFonts w:eastAsia="Lexend Light" w:cs="Lexend Light" w:ascii="Lexend Light" w:hAnsi="Lexend Light"/>
        </w:rPr>
        <w:t xml:space="preserve"> Por medio del cual se dictan normas para suprimir o reformar regulaciones, procedimientos y trámites innecesarios existentes en la Administración Pública.</w:t>
      </w:r>
    </w:p>
    <w:p>
      <w:pPr>
        <w:pStyle w:val="Normal"/>
        <w:numPr>
          <w:ilvl w:val="0"/>
          <w:numId w:val="5"/>
        </w:numPr>
        <w:pBdr/>
        <w:tabs>
          <w:tab w:val="clear" w:pos="720"/>
          <w:tab w:val="left" w:pos="581" w:leader="none"/>
        </w:tabs>
        <w:spacing w:lineRule="auto" w:line="367" w:before="2" w:after="0"/>
        <w:ind w:left="581" w:right="400" w:hanging="360"/>
        <w:jc w:val="both"/>
        <w:rPr>
          <w:rFonts w:ascii="Lexend Light" w:hAnsi="Lexend Light" w:eastAsia="Lexend Light" w:cs="Lexend Light"/>
        </w:rPr>
      </w:pPr>
      <w:r>
        <w:rPr>
          <w:rFonts w:eastAsia="Lexend" w:cs="Lexend" w:ascii="Lexend" w:hAnsi="Lexend"/>
          <w:b/>
          <w:color w:val="ED4FD0"/>
        </w:rPr>
        <w:t>Ley 1712 de 2014.</w:t>
      </w:r>
      <w:r>
        <w:rPr>
          <w:rFonts w:eastAsia="Lexend Light" w:cs="Lexend Light" w:ascii="Lexend Light" w:hAnsi="Lexend Light"/>
          <w:color w:val="000000"/>
        </w:rPr>
        <w:t xml:space="preserve"> Por medio de la cual se crea la Ley de Transparencia y del Derecho de Acceso a la Información Pública Nacional y se dictan otras disposiciones.</w:t>
      </w:r>
    </w:p>
    <w:p>
      <w:pPr>
        <w:pStyle w:val="Normal"/>
        <w:numPr>
          <w:ilvl w:val="0"/>
          <w:numId w:val="5"/>
        </w:numPr>
        <w:pBdr/>
        <w:tabs>
          <w:tab w:val="clear" w:pos="720"/>
          <w:tab w:val="left" w:pos="581" w:leader="none"/>
        </w:tabs>
        <w:spacing w:lineRule="auto" w:line="367" w:before="2" w:after="0"/>
        <w:ind w:left="581" w:right="407" w:hanging="360"/>
        <w:jc w:val="both"/>
        <w:rPr>
          <w:rFonts w:ascii="Lexend Light" w:hAnsi="Lexend Light" w:eastAsia="Lexend Light" w:cs="Lexend Light"/>
        </w:rPr>
      </w:pPr>
      <w:r>
        <w:rPr>
          <w:rFonts w:eastAsia="Lexend" w:cs="Lexend" w:ascii="Lexend" w:hAnsi="Lexend"/>
          <w:b/>
          <w:color w:val="ED4FD0"/>
        </w:rPr>
        <w:t>Decreto 103 de 2015</w:t>
      </w:r>
      <w:r>
        <w:rPr>
          <w:rFonts w:eastAsia="Lexend" w:cs="Lexend" w:ascii="Lexend" w:hAnsi="Lexend"/>
          <w:color w:val="ED4FD0"/>
        </w:rPr>
        <w:t>.</w:t>
      </w:r>
      <w:r>
        <w:rPr>
          <w:rFonts w:eastAsia="Lexend Light" w:cs="Lexend Light" w:ascii="Lexend Light" w:hAnsi="Lexend Light"/>
          <w:color w:val="EC4ED0"/>
        </w:rPr>
        <w:t xml:space="preserve"> </w:t>
      </w:r>
      <w:r>
        <w:rPr>
          <w:rFonts w:eastAsia="Lexend Light" w:cs="Lexend Light" w:ascii="Lexend Light" w:hAnsi="Lexend Light"/>
          <w:color w:val="000000"/>
        </w:rPr>
        <w:t>Por el cual se reglamenta parcialmente la Ley 1712 de 2014 y se dictan otras disposiciones relacionadas con la transparencia y del derecho de acceso a la información pública nacional.</w:t>
      </w:r>
    </w:p>
    <w:p>
      <w:pPr>
        <w:pStyle w:val="Normal"/>
        <w:numPr>
          <w:ilvl w:val="0"/>
          <w:numId w:val="5"/>
        </w:numPr>
        <w:pBdr/>
        <w:tabs>
          <w:tab w:val="clear" w:pos="720"/>
          <w:tab w:val="left" w:pos="581" w:leader="none"/>
        </w:tabs>
        <w:spacing w:lineRule="auto" w:line="367" w:before="2" w:after="0"/>
        <w:ind w:left="581" w:right="408" w:hanging="360"/>
        <w:jc w:val="both"/>
        <w:rPr>
          <w:rFonts w:ascii="Lexend Light" w:hAnsi="Lexend Light" w:eastAsia="Lexend Light" w:cs="Lexend Light"/>
        </w:rPr>
      </w:pPr>
      <w:r>
        <w:rPr>
          <w:rFonts w:eastAsia="Lexend" w:cs="Lexend" w:ascii="Lexend" w:hAnsi="Lexend"/>
          <w:b/>
          <w:color w:val="ED4FD0"/>
        </w:rPr>
        <w:t>Decreto 1080 de 2015</w:t>
      </w:r>
      <w:r>
        <w:rPr>
          <w:rFonts w:eastAsia="Lexend Light" w:cs="Lexend Light" w:ascii="Lexend Light" w:hAnsi="Lexend Light"/>
          <w:b/>
          <w:color w:val="000000"/>
        </w:rPr>
        <w:t>.</w:t>
      </w:r>
      <w:r>
        <w:rPr>
          <w:rFonts w:eastAsia="Lexend Light" w:cs="Lexend Light" w:ascii="Lexend Light" w:hAnsi="Lexend Light"/>
          <w:color w:val="000000"/>
        </w:rPr>
        <w:t xml:space="preserve"> Por medio del cual se expide el Decreto Único Reglamentario del Sector Cultura.</w:t>
      </w:r>
    </w:p>
    <w:p>
      <w:pPr>
        <w:pStyle w:val="Normal"/>
        <w:numPr>
          <w:ilvl w:val="0"/>
          <w:numId w:val="5"/>
        </w:numPr>
        <w:pBdr/>
        <w:tabs>
          <w:tab w:val="clear" w:pos="720"/>
          <w:tab w:val="left" w:pos="581" w:leader="none"/>
        </w:tabs>
        <w:spacing w:lineRule="auto" w:line="367" w:before="2" w:after="0"/>
        <w:ind w:left="581" w:right="400" w:hanging="360"/>
        <w:jc w:val="both"/>
        <w:rPr>
          <w:rFonts w:ascii="Lexend Light" w:hAnsi="Lexend Light" w:eastAsia="Lexend Light" w:cs="Lexend Light"/>
        </w:rPr>
      </w:pPr>
      <w:r>
        <w:rPr>
          <w:rFonts w:eastAsia="Lexend" w:cs="Lexend" w:ascii="Lexend" w:hAnsi="Lexend"/>
          <w:b/>
          <w:color w:val="ED4FD0"/>
        </w:rPr>
        <w:t>Decreto 1082 de 2015</w:t>
      </w:r>
      <w:r>
        <w:rPr>
          <w:rFonts w:eastAsia="Lexend Light" w:cs="Lexend Light" w:ascii="Lexend Light" w:hAnsi="Lexend Light"/>
          <w:b/>
          <w:color w:val="000000"/>
        </w:rPr>
        <w:t xml:space="preserve">. </w:t>
      </w:r>
      <w:r>
        <w:rPr>
          <w:rFonts w:eastAsia="Lexend Light" w:cs="Lexend Light" w:ascii="Lexend Light" w:hAnsi="Lexend Light"/>
          <w:color w:val="000000"/>
        </w:rPr>
        <w:t>Por medio del cual se expide el Decreto Único Reglamentario del Sector Administrativo de Planeación Nacional.</w:t>
      </w:r>
    </w:p>
    <w:p>
      <w:pPr>
        <w:pStyle w:val="Normal"/>
        <w:numPr>
          <w:ilvl w:val="0"/>
          <w:numId w:val="5"/>
        </w:numPr>
        <w:tabs>
          <w:tab w:val="clear" w:pos="720"/>
          <w:tab w:val="left" w:pos="581" w:leader="none"/>
        </w:tabs>
        <w:spacing w:lineRule="auto" w:line="367" w:before="2" w:after="0"/>
        <w:ind w:left="581" w:right="403" w:hanging="360"/>
        <w:jc w:val="both"/>
        <w:rPr>
          <w:rFonts w:ascii="Lexend Light" w:hAnsi="Lexend Light" w:eastAsia="Lexend Light" w:cs="Lexend Light"/>
        </w:rPr>
      </w:pPr>
      <w:r>
        <w:rPr>
          <w:rFonts w:eastAsia="Lexend" w:cs="Lexend" w:ascii="Lexend" w:hAnsi="Lexend"/>
          <w:b/>
          <w:color w:val="ED4FD0"/>
        </w:rPr>
        <w:t>Resolución 104 de febrero 26 de 2016 de la SCRD</w:t>
      </w:r>
      <w:r>
        <w:rPr>
          <w:rFonts w:eastAsia="Lexend" w:cs="Lexend" w:ascii="Lexend" w:hAnsi="Lexend"/>
          <w:color w:val="ED4FD0"/>
        </w:rPr>
        <w:t>.</w:t>
      </w:r>
      <w:r>
        <w:rPr>
          <w:rFonts w:eastAsia="Lexend Light" w:cs="Lexend Light" w:ascii="Lexend Light" w:hAnsi="Lexend Light"/>
          <w:color w:val="EC4ED0"/>
        </w:rPr>
        <w:t xml:space="preserve"> </w:t>
      </w:r>
      <w:r>
        <w:rPr>
          <w:rFonts w:eastAsia="Lexend Light" w:cs="Lexend Light" w:ascii="Lexend Light" w:hAnsi="Lexend Light"/>
        </w:rPr>
        <w:t>Por medio de la cual se adopta la tabla de costos para la celebración de convenios de asociación y contratos de apoyo de la Secretaría Distrital de Cultura, Recreación y Deporte.</w:t>
      </w:r>
    </w:p>
    <w:p>
      <w:pPr>
        <w:pStyle w:val="Normal"/>
        <w:numPr>
          <w:ilvl w:val="0"/>
          <w:numId w:val="5"/>
        </w:numPr>
        <w:pBdr/>
        <w:tabs>
          <w:tab w:val="clear" w:pos="720"/>
          <w:tab w:val="left" w:pos="581" w:leader="none"/>
        </w:tabs>
        <w:spacing w:lineRule="auto" w:line="367" w:before="4" w:after="0"/>
        <w:ind w:left="581" w:right="412" w:hanging="360"/>
        <w:jc w:val="both"/>
        <w:rPr>
          <w:rFonts w:ascii="Lexend Light" w:hAnsi="Lexend Light" w:eastAsia="Lexend Light" w:cs="Lexend Light"/>
        </w:rPr>
      </w:pPr>
      <w:r>
        <w:rPr>
          <w:rFonts w:eastAsia="Lexend" w:cs="Lexend" w:ascii="Lexend" w:hAnsi="Lexend"/>
          <w:b/>
          <w:color w:val="ED4FD0"/>
        </w:rPr>
        <w:t>Decreto 092 de 2017</w:t>
      </w:r>
      <w:r>
        <w:rPr>
          <w:rFonts w:eastAsia="Lexend" w:cs="Lexend" w:ascii="Lexend" w:hAnsi="Lexend"/>
          <w:color w:val="ED4FD0"/>
        </w:rPr>
        <w:t>.</w:t>
      </w:r>
      <w:r>
        <w:rPr>
          <w:rFonts w:eastAsia="Lexend Light" w:cs="Lexend Light" w:ascii="Lexend Light" w:hAnsi="Lexend Light"/>
          <w:b/>
          <w:color w:val="000000"/>
        </w:rPr>
        <w:t xml:space="preserve"> </w:t>
      </w:r>
      <w:r>
        <w:rPr>
          <w:rFonts w:eastAsia="Lexend Light" w:cs="Lexend Light" w:ascii="Lexend Light" w:hAnsi="Lexend Light"/>
          <w:color w:val="000000"/>
        </w:rPr>
        <w:t>Por el cual se reglamenta la contratación con entidades privadas sin ánimo de lucro a la que hace referencia el inciso segundo del artículo 355 de la Constitución Política.</w:t>
      </w:r>
    </w:p>
    <w:p>
      <w:pPr>
        <w:pStyle w:val="Normal"/>
        <w:numPr>
          <w:ilvl w:val="0"/>
          <w:numId w:val="5"/>
        </w:numPr>
        <w:pBdr/>
        <w:tabs>
          <w:tab w:val="clear" w:pos="720"/>
          <w:tab w:val="left" w:pos="581" w:leader="none"/>
        </w:tabs>
        <w:spacing w:lineRule="auto" w:line="367" w:before="2" w:after="0"/>
        <w:ind w:left="581" w:right="402" w:hanging="360"/>
        <w:jc w:val="both"/>
        <w:rPr>
          <w:rFonts w:ascii="Lexend Light" w:hAnsi="Lexend Light" w:eastAsia="Lexend Light" w:cs="Lexend Light"/>
        </w:rPr>
      </w:pPr>
      <w:r>
        <w:rPr>
          <w:rFonts w:eastAsia="Lexend" w:cs="Lexend" w:ascii="Lexend" w:hAnsi="Lexend"/>
          <w:b/>
          <w:color w:val="ED4FD0"/>
        </w:rPr>
        <w:t>Ley 2052 de 2020.</w:t>
      </w:r>
      <w:r>
        <w:rPr>
          <w:rFonts w:eastAsia="Lexend Light" w:cs="Lexend Light" w:ascii="Lexend Light" w:hAnsi="Lexend Light"/>
          <w:color w:val="EC4ED0"/>
        </w:rPr>
        <w:t xml:space="preserve"> </w:t>
      </w:r>
      <w:r>
        <w:rPr>
          <w:rFonts w:eastAsia="Lexend Light" w:cs="Lexend Light" w:ascii="Lexend Light" w:hAnsi="Lexend Light"/>
          <w:color w:val="000000"/>
        </w:rPr>
        <w:t>Por medio de la cual se establecen disposiciones, transversales a la rama ejecutiva del nivel nacional y territorial y a los particulares que cumplan funciones públicas y administrativas, en relación con la racionalización de trámites y se dictan otras disposiciones.</w:t>
      </w:r>
    </w:p>
    <w:p>
      <w:pPr>
        <w:pStyle w:val="Normal"/>
        <w:numPr>
          <w:ilvl w:val="0"/>
          <w:numId w:val="5"/>
        </w:numPr>
        <w:pBdr/>
        <w:tabs>
          <w:tab w:val="clear" w:pos="720"/>
          <w:tab w:val="left" w:pos="581" w:leader="none"/>
        </w:tabs>
        <w:spacing w:lineRule="auto" w:line="367" w:before="3" w:after="0"/>
        <w:ind w:left="581" w:right="400" w:hanging="360"/>
        <w:jc w:val="both"/>
        <w:rPr>
          <w:rFonts w:ascii="Lexend Light" w:hAnsi="Lexend Light" w:eastAsia="Lexend Light" w:cs="Lexend Light"/>
        </w:rPr>
      </w:pPr>
      <w:r>
        <w:rPr>
          <w:rFonts w:eastAsia="Lexend" w:cs="Lexend" w:ascii="Lexend" w:hAnsi="Lexend"/>
          <w:b/>
          <w:color w:val="ED4FD0"/>
        </w:rPr>
        <w:t>Ley 2070 de 2020</w:t>
      </w:r>
      <w:r>
        <w:rPr>
          <w:rFonts w:eastAsia="Lexend" w:cs="Lexend" w:ascii="Lexend" w:hAnsi="Lexend"/>
          <w:color w:val="ED4FD0"/>
        </w:rPr>
        <w:t>.</w:t>
      </w:r>
      <w:r>
        <w:rPr>
          <w:rFonts w:eastAsia="Lexend Light" w:cs="Lexend Light" w:ascii="Lexend Light" w:hAnsi="Lexend Light"/>
          <w:color w:val="EC4ED0"/>
        </w:rPr>
        <w:t xml:space="preserve"> </w:t>
      </w:r>
      <w:r>
        <w:rPr>
          <w:rFonts w:eastAsia="Lexend Light" w:cs="Lexend Light" w:ascii="Lexend Light" w:hAnsi="Lexend Light"/>
          <w:color w:val="000000"/>
        </w:rPr>
        <w:t>Por la cual se dictan medidas para la reactivación y fortalecimiento del sector cultura, se crea el Fondo para la Promoción del Patrimonio, la Cultura, las Artes y la Creatividad Foncultura y se dictan otras disposiciones. Modiﬁca la Ley 1493 de 2011 en algunos aspectos referentes a las líneas de inversión y periodo de ejecución de los recursos de la contribución paraﬁscal cultural de los espectáculos públicos de las artes escénicas.</w:t>
      </w:r>
    </w:p>
    <w:p>
      <w:pPr>
        <w:pStyle w:val="Normal"/>
        <w:numPr>
          <w:ilvl w:val="0"/>
          <w:numId w:val="5"/>
        </w:numPr>
        <w:pBdr/>
        <w:tabs>
          <w:tab w:val="clear" w:pos="720"/>
          <w:tab w:val="left" w:pos="581" w:leader="none"/>
        </w:tabs>
        <w:spacing w:lineRule="auto" w:line="367" w:before="4" w:after="0"/>
        <w:ind w:left="581" w:right="400" w:hanging="360"/>
        <w:jc w:val="both"/>
        <w:rPr>
          <w:rFonts w:ascii="Lexend Light" w:hAnsi="Lexend Light" w:eastAsia="Lexend Light" w:cs="Lexend Light"/>
        </w:rPr>
      </w:pPr>
      <w:r>
        <w:rPr>
          <w:rFonts w:eastAsia="Lexend" w:cs="Lexend" w:ascii="Lexend" w:hAnsi="Lexend"/>
          <w:b/>
          <w:color w:val="ED4FD0"/>
        </w:rPr>
        <w:t>Decreto Nacional 639 de 2021.</w:t>
      </w:r>
      <w:r>
        <w:rPr>
          <w:rFonts w:eastAsia="Lexend Light" w:cs="Lexend Light" w:ascii="Lexend Light" w:hAnsi="Lexend Light"/>
          <w:color w:val="EC4ED0"/>
        </w:rPr>
        <w:t xml:space="preserve"> </w:t>
      </w:r>
      <w:r>
        <w:rPr>
          <w:rFonts w:eastAsia="Lexend Light" w:cs="Lexend Light" w:ascii="Lexend Light" w:hAnsi="Lexend Light"/>
          <w:color w:val="000000"/>
        </w:rPr>
        <w:t>Por el cual se reglamenta parcialmente la Ley 2070 de 2020 en lo que se reﬁere a la destinación especíﬁca de la contribución paraﬁscal de los espectáculos públicos de las artes escénicas y se modiﬁcan los artículos 2.9.2.4.2, 2.9.2.4.3 y 2.9.2.5.2 del Decreto 1080 de 2015, Único Reglamentario del Sector Cultura.</w:t>
      </w:r>
    </w:p>
    <w:p>
      <w:pPr>
        <w:pStyle w:val="Normal"/>
        <w:numPr>
          <w:ilvl w:val="0"/>
          <w:numId w:val="5"/>
        </w:numPr>
        <w:pBdr/>
        <w:tabs>
          <w:tab w:val="clear" w:pos="720"/>
          <w:tab w:val="left" w:pos="581" w:leader="none"/>
        </w:tabs>
        <w:spacing w:lineRule="auto" w:line="367" w:before="4" w:after="0"/>
        <w:ind w:left="581" w:right="408" w:hanging="360"/>
        <w:jc w:val="both"/>
        <w:rPr>
          <w:rFonts w:ascii="Lexend Light" w:hAnsi="Lexend Light" w:eastAsia="Lexend Light" w:cs="Lexend Light"/>
        </w:rPr>
      </w:pPr>
      <w:r>
        <w:rPr>
          <w:rFonts w:eastAsia="Lexend" w:cs="Lexend" w:ascii="Lexend" w:hAnsi="Lexend"/>
          <w:b/>
          <w:color w:val="ED4FD0"/>
        </w:rPr>
        <w:t>Decreto Distrital 321 de 2022.</w:t>
      </w:r>
      <w:r>
        <w:rPr>
          <w:rFonts w:eastAsia="Lexend Light" w:cs="Lexend Light" w:ascii="Lexend Light" w:hAnsi="Lexend Light"/>
          <w:color w:val="000000"/>
        </w:rPr>
        <w:t xml:space="preserve"> Por el cual se modiﬁca el Decreto Distrital 081 de 2019 'Por el cual se establecen los mecanismos para la administración de la contribución paraﬁscal cultural en el Distrito Capital.</w:t>
      </w:r>
    </w:p>
    <w:p>
      <w:pPr>
        <w:pStyle w:val="Normal"/>
        <w:numPr>
          <w:ilvl w:val="0"/>
          <w:numId w:val="5"/>
        </w:numPr>
        <w:pBdr/>
        <w:tabs>
          <w:tab w:val="clear" w:pos="720"/>
          <w:tab w:val="left" w:pos="581" w:leader="none"/>
        </w:tabs>
        <w:spacing w:lineRule="auto" w:line="367" w:before="99" w:after="0"/>
        <w:ind w:left="581" w:right="411" w:hanging="360"/>
        <w:jc w:val="both"/>
        <w:rPr>
          <w:rFonts w:ascii="Lexend Light" w:hAnsi="Lexend Light" w:eastAsia="Lexend Light" w:cs="Lexend Light"/>
        </w:rPr>
      </w:pPr>
      <w:r>
        <w:rPr>
          <w:rFonts w:eastAsia="Lexend" w:cs="Lexend" w:ascii="Lexend" w:hAnsi="Lexend"/>
          <w:b/>
          <w:color w:val="EC4ED0"/>
        </w:rPr>
        <w:t>CONPES D.C. 02 de 2019.</w:t>
      </w:r>
      <w:r>
        <w:rPr>
          <w:rFonts w:eastAsia="Lexend Light" w:cs="Lexend Light" w:ascii="Lexend Light" w:hAnsi="Lexend Light"/>
          <w:color w:val="000000"/>
        </w:rPr>
        <w:t xml:space="preserve"> Política Pública Distrital de Economía Cultural y Creativa 2019-2038.</w:t>
      </w:r>
    </w:p>
    <w:p>
      <w:pPr>
        <w:pStyle w:val="Normal"/>
        <w:numPr>
          <w:ilvl w:val="0"/>
          <w:numId w:val="5"/>
        </w:numPr>
        <w:pBdr/>
        <w:tabs>
          <w:tab w:val="clear" w:pos="720"/>
          <w:tab w:val="left" w:pos="581" w:leader="none"/>
        </w:tabs>
        <w:spacing w:lineRule="auto" w:line="367" w:before="1" w:after="0"/>
        <w:ind w:left="581" w:right="411" w:hanging="360"/>
        <w:jc w:val="both"/>
        <w:rPr>
          <w:rFonts w:ascii="Lexend Light" w:hAnsi="Lexend Light" w:eastAsia="Lexend Light" w:cs="Lexend Light"/>
        </w:rPr>
      </w:pPr>
      <w:r>
        <w:rPr>
          <w:rFonts w:eastAsia="Lexend" w:cs="Lexend" w:ascii="Lexend" w:hAnsi="Lexend"/>
          <w:b/>
          <w:color w:val="ED4FD0"/>
        </w:rPr>
        <w:t>Decreto Distrital 340 de 2020</w:t>
      </w:r>
      <w:r>
        <w:rPr>
          <w:rFonts w:eastAsia="Lexend Light" w:cs="Lexend Light" w:ascii="Lexend Light" w:hAnsi="Lexend Light"/>
          <w:b/>
          <w:color w:val="EC4ED0"/>
        </w:rPr>
        <w:t>.</w:t>
      </w:r>
      <w:r>
        <w:rPr>
          <w:rFonts w:eastAsia="Lexend Light" w:cs="Lexend Light" w:ascii="Lexend Light" w:hAnsi="Lexend Light"/>
          <w:color w:val="EC4ED0"/>
        </w:rPr>
        <w:t xml:space="preserve"> </w:t>
      </w:r>
      <w:r>
        <w:rPr>
          <w:rFonts w:eastAsia="Lexend Light" w:cs="Lexend Light" w:ascii="Lexend Light" w:hAnsi="Lexend Light"/>
          <w:color w:val="000000"/>
        </w:rPr>
        <w:t>Por el cual se modiﬁca la estructura organizacional de la Secretaría Distrital de Cultura, Recreación y Deporte y se dictan otras disposiciones.</w:t>
      </w:r>
    </w:p>
    <w:p>
      <w:pPr>
        <w:pStyle w:val="Normal"/>
        <w:numPr>
          <w:ilvl w:val="0"/>
          <w:numId w:val="5"/>
        </w:numPr>
        <w:pBdr/>
        <w:tabs>
          <w:tab w:val="clear" w:pos="720"/>
          <w:tab w:val="left" w:pos="581" w:leader="none"/>
        </w:tabs>
        <w:spacing w:lineRule="auto" w:line="367" w:before="3" w:after="0"/>
        <w:ind w:left="581" w:right="407" w:hanging="360"/>
        <w:jc w:val="both"/>
        <w:rPr>
          <w:rFonts w:ascii="Lexend Light" w:hAnsi="Lexend Light" w:eastAsia="Lexend Light" w:cs="Lexend Light"/>
        </w:rPr>
      </w:pPr>
      <w:r>
        <w:rPr>
          <w:rFonts w:eastAsia="Lexend" w:cs="Lexend" w:ascii="Lexend" w:hAnsi="Lexend"/>
          <w:b/>
          <w:color w:val="EC4ED0"/>
        </w:rPr>
        <w:t>Acuerdo 927 de 2024 del Concejo de Bogotá</w:t>
      </w:r>
      <w:r>
        <w:rPr>
          <w:rFonts w:eastAsia="Lexend Light" w:cs="Lexend Light" w:ascii="Lexend Light" w:hAnsi="Lexend Light"/>
          <w:b/>
          <w:color w:val="EC4ED0"/>
        </w:rPr>
        <w:t xml:space="preserve">. </w:t>
      </w:r>
      <w:r>
        <w:rPr>
          <w:rFonts w:eastAsia="Lexend Light" w:cs="Lexend Light" w:ascii="Lexend Light" w:hAnsi="Lexend Light"/>
        </w:rPr>
        <w:t>Por medio del cual se adopta el plan de desarrollo económico, social, ambiental y de obras públicas del distrito capital 2024-2027 “Bogotá Camina Segura”.</w:t>
      </w:r>
    </w:p>
    <w:p>
      <w:pPr>
        <w:pStyle w:val="Normal"/>
        <w:numPr>
          <w:ilvl w:val="0"/>
          <w:numId w:val="5"/>
        </w:numPr>
        <w:pBdr/>
        <w:tabs>
          <w:tab w:val="clear" w:pos="720"/>
          <w:tab w:val="left" w:pos="581" w:leader="none"/>
        </w:tabs>
        <w:spacing w:lineRule="auto" w:line="372" w:before="3" w:after="0"/>
        <w:ind w:left="581" w:right="406" w:hanging="360"/>
        <w:jc w:val="both"/>
        <w:rPr>
          <w:rFonts w:ascii="Lexend" w:hAnsi="Lexend" w:eastAsia="Lexend" w:cs="Lexend"/>
          <w:b/>
          <w:b/>
        </w:rPr>
      </w:pPr>
      <w:r>
        <w:rPr>
          <w:rFonts w:eastAsia="Lexend" w:cs="Lexend" w:ascii="Lexend" w:hAnsi="Lexend"/>
          <w:b/>
          <w:color w:val="ED4FD0"/>
        </w:rPr>
        <w:t>Lineamientos de Fomento para el Sector Cultura, Recreación y Deporte. enero de 2024.</w:t>
      </w:r>
    </w:p>
    <w:p>
      <w:pPr>
        <w:pStyle w:val="Normal"/>
        <w:pBdr/>
        <w:spacing w:before="7" w:after="0"/>
        <w:rPr>
          <w:rFonts w:ascii="Tahoma" w:hAnsi="Tahoma" w:eastAsia="Tahoma" w:cs="Tahoma"/>
          <w:b/>
          <w:b/>
          <w:color w:val="000000"/>
          <w:sz w:val="37"/>
          <w:szCs w:val="37"/>
        </w:rPr>
      </w:pPr>
      <w:r>
        <w:rPr>
          <w:rFonts w:eastAsia="Tahoma" w:cs="Tahoma" w:ascii="Tahoma" w:hAnsi="Tahoma"/>
          <w:b/>
          <w:color w:val="000000"/>
          <w:sz w:val="37"/>
          <w:szCs w:val="37"/>
        </w:rPr>
      </w:r>
    </w:p>
    <w:p>
      <w:pPr>
        <w:pStyle w:val="Ttulo2"/>
        <w:numPr>
          <w:ilvl w:val="1"/>
          <w:numId w:val="7"/>
        </w:numPr>
        <w:tabs>
          <w:tab w:val="clear" w:pos="720"/>
          <w:tab w:val="left" w:pos="791" w:leader="none"/>
        </w:tabs>
        <w:spacing w:before="0" w:after="0"/>
        <w:ind w:left="791" w:hanging="570"/>
        <w:rPr>
          <w:rFonts w:ascii="Lexend Light" w:hAnsi="Lexend Light" w:eastAsia="Lexend Light" w:cs="Lexend Light"/>
          <w:color w:val="F150D4"/>
        </w:rPr>
      </w:pPr>
      <w:r>
        <w:rPr>
          <w:rFonts w:eastAsia="Lexend Light" w:cs="Lexend Light" w:ascii="Lexend Light" w:hAnsi="Lexend Light"/>
          <w:color w:val="2E5395"/>
        </w:rPr>
        <w:t>¿Cuál es la instancia de decisión del PDAC?</w:t>
      </w:r>
    </w:p>
    <w:p>
      <w:pPr>
        <w:pStyle w:val="Normal"/>
        <w:pBdr/>
        <w:spacing w:before="3" w:after="0"/>
        <w:rPr>
          <w:rFonts w:ascii="Tahoma" w:hAnsi="Tahoma" w:eastAsia="Tahoma" w:cs="Tahoma"/>
          <w:b/>
          <w:b/>
          <w:color w:val="000000"/>
          <w:sz w:val="35"/>
          <w:szCs w:val="35"/>
        </w:rPr>
      </w:pPr>
      <w:r>
        <w:rPr>
          <w:rFonts w:eastAsia="Tahoma" w:cs="Tahoma" w:ascii="Tahoma" w:hAnsi="Tahoma"/>
          <w:b/>
          <w:color w:val="000000"/>
          <w:sz w:val="35"/>
          <w:szCs w:val="35"/>
        </w:rPr>
      </w:r>
    </w:p>
    <w:p>
      <w:pPr>
        <w:pStyle w:val="Normal"/>
        <w:pBdr/>
        <w:spacing w:lineRule="auto" w:line="367" w:before="0" w:after="200"/>
        <w:ind w:left="221" w:right="401" w:hanging="0"/>
        <w:jc w:val="both"/>
        <w:rPr>
          <w:rFonts w:ascii="Lexend Light" w:hAnsi="Lexend Light" w:eastAsia="Lexend Light" w:cs="Lexend Light"/>
          <w:color w:val="000000"/>
        </w:rPr>
      </w:pPr>
      <w:r>
        <w:rPr>
          <w:rFonts w:eastAsia="Lexend Light" w:cs="Lexend Light" w:ascii="Lexend Light" w:hAnsi="Lexend Light"/>
          <w:color w:val="000000"/>
        </w:rPr>
        <w:t xml:space="preserve">El PDAC y los demás programas de fomento del Sector Cultura de Bogotá D.C., se diseñan y reglamentan en el marco del </w:t>
      </w:r>
      <w:r>
        <w:rPr>
          <w:rFonts w:eastAsia="Lexend" w:cs="Lexend" w:ascii="Lexend" w:hAnsi="Lexend"/>
          <w:b/>
          <w:color w:val="EC52C1"/>
        </w:rPr>
        <w:t>Comité de Fomento</w:t>
      </w:r>
      <w:r>
        <w:rPr>
          <w:rFonts w:eastAsia="Lexend Light" w:cs="Lexend Light" w:ascii="Lexend Light" w:hAnsi="Lexend Light"/>
          <w:color w:val="000000"/>
        </w:rPr>
        <w:t>, el cual es liderado por la SCRD, cabeza del sector, y está conformado por los siguientes integrantes:</w:t>
      </w:r>
    </w:p>
    <w:p>
      <w:pPr>
        <w:pStyle w:val="Normal"/>
        <w:numPr>
          <w:ilvl w:val="0"/>
          <w:numId w:val="5"/>
        </w:numPr>
        <w:pBdr/>
        <w:tabs>
          <w:tab w:val="clear" w:pos="720"/>
          <w:tab w:val="left" w:pos="580" w:leader="none"/>
          <w:tab w:val="left" w:pos="581" w:leader="none"/>
        </w:tabs>
        <w:spacing w:lineRule="auto" w:line="360" w:before="1" w:after="0"/>
        <w:rPr>
          <w:rFonts w:ascii="Lexend Light" w:hAnsi="Lexend Light" w:eastAsia="Lexend Light" w:cs="Lexend Light"/>
        </w:rPr>
      </w:pPr>
      <w:r>
        <w:rPr>
          <w:rFonts w:eastAsia="Lexend Light" w:cs="Lexend Light" w:ascii="Lexend Light" w:hAnsi="Lexend Light"/>
          <w:color w:val="000000"/>
        </w:rPr>
        <w:t>El(la) Secretario(a) Distrital de Cultura, Recreación y Deporte, quien lo presidirá.</w:t>
      </w:r>
    </w:p>
    <w:p>
      <w:pPr>
        <w:pStyle w:val="Normal"/>
        <w:numPr>
          <w:ilvl w:val="0"/>
          <w:numId w:val="5"/>
        </w:numPr>
        <w:pBdr/>
        <w:tabs>
          <w:tab w:val="clear" w:pos="720"/>
          <w:tab w:val="left" w:pos="580" w:leader="none"/>
          <w:tab w:val="left" w:pos="581" w:leader="none"/>
        </w:tabs>
        <w:spacing w:lineRule="auto" w:line="360" w:before="1" w:after="0"/>
        <w:rPr>
          <w:rFonts w:ascii="Lexend Light" w:hAnsi="Lexend Light" w:eastAsia="Lexend Light" w:cs="Lexend Light"/>
        </w:rPr>
      </w:pPr>
      <w:r>
        <w:rPr>
          <w:rFonts w:eastAsia="Lexend Light" w:cs="Lexend Light" w:ascii="Lexend Light" w:hAnsi="Lexend Light"/>
          <w:color w:val="000000"/>
        </w:rPr>
        <w:t>El(la) Subsecretario(a) de Gobernanza de la Secretaría Distrital de Cultura, Recreación y Deporte.</w:t>
      </w:r>
    </w:p>
    <w:p>
      <w:pPr>
        <w:pStyle w:val="Normal"/>
        <w:numPr>
          <w:ilvl w:val="0"/>
          <w:numId w:val="5"/>
        </w:numPr>
        <w:pBdr/>
        <w:tabs>
          <w:tab w:val="clear" w:pos="720"/>
          <w:tab w:val="left" w:pos="580" w:leader="none"/>
          <w:tab w:val="left" w:pos="581" w:leader="none"/>
        </w:tabs>
        <w:spacing w:lineRule="auto" w:line="360" w:before="1" w:after="0"/>
        <w:rPr>
          <w:rFonts w:ascii="Lexend Light" w:hAnsi="Lexend Light" w:eastAsia="Lexend Light" w:cs="Lexend Light"/>
        </w:rPr>
      </w:pPr>
      <w:r>
        <w:rPr>
          <w:rFonts w:eastAsia="Lexend Light" w:cs="Lexend Light" w:ascii="Lexend Light" w:hAnsi="Lexend Light"/>
          <w:color w:val="000000"/>
        </w:rPr>
        <w:t>El(la) Director(a) del Instituto Distrital de las Artes – IDARTES.</w:t>
      </w:r>
    </w:p>
    <w:p>
      <w:pPr>
        <w:pStyle w:val="Normal"/>
        <w:numPr>
          <w:ilvl w:val="0"/>
          <w:numId w:val="5"/>
        </w:numPr>
        <w:pBdr/>
        <w:tabs>
          <w:tab w:val="clear" w:pos="720"/>
          <w:tab w:val="left" w:pos="580" w:leader="none"/>
          <w:tab w:val="left" w:pos="581" w:leader="none"/>
        </w:tabs>
        <w:spacing w:lineRule="auto" w:line="360" w:before="1" w:after="0"/>
        <w:rPr>
          <w:rFonts w:ascii="Lexend Light" w:hAnsi="Lexend Light" w:eastAsia="Lexend Light" w:cs="Lexend Light"/>
        </w:rPr>
      </w:pPr>
      <w:r>
        <w:rPr>
          <w:rFonts w:eastAsia="Lexend Light" w:cs="Lexend Light" w:ascii="Lexend Light" w:hAnsi="Lexend Light"/>
          <w:color w:val="000000"/>
        </w:rPr>
        <w:t>El(la) Director(a) de la Orquesta Filarmónica de Bogotá – OFB.</w:t>
      </w:r>
    </w:p>
    <w:p>
      <w:pPr>
        <w:pStyle w:val="Normal"/>
        <w:numPr>
          <w:ilvl w:val="0"/>
          <w:numId w:val="5"/>
        </w:numPr>
        <w:pBdr/>
        <w:tabs>
          <w:tab w:val="clear" w:pos="720"/>
          <w:tab w:val="left" w:pos="580" w:leader="none"/>
          <w:tab w:val="left" w:pos="581" w:leader="none"/>
        </w:tabs>
        <w:spacing w:lineRule="auto" w:line="360" w:before="1" w:after="0"/>
        <w:rPr>
          <w:rFonts w:ascii="Lexend Light" w:hAnsi="Lexend Light" w:eastAsia="Lexend Light" w:cs="Lexend Light"/>
        </w:rPr>
      </w:pPr>
      <w:r>
        <w:rPr>
          <w:rFonts w:eastAsia="Lexend Light" w:cs="Lexend Light" w:ascii="Lexend Light" w:hAnsi="Lexend Light"/>
          <w:color w:val="000000"/>
        </w:rPr>
        <w:t>El(la) Director(a) del Instituto Distrital de Patrimonio Cultural – IDPC.</w:t>
      </w:r>
    </w:p>
    <w:p>
      <w:pPr>
        <w:pStyle w:val="Normal"/>
        <w:numPr>
          <w:ilvl w:val="0"/>
          <w:numId w:val="5"/>
        </w:numPr>
        <w:pBdr/>
        <w:tabs>
          <w:tab w:val="clear" w:pos="720"/>
          <w:tab w:val="left" w:pos="580" w:leader="none"/>
          <w:tab w:val="left" w:pos="581" w:leader="none"/>
        </w:tabs>
        <w:spacing w:lineRule="auto" w:line="360" w:before="1" w:after="0"/>
        <w:rPr>
          <w:rFonts w:ascii="Lexend Light" w:hAnsi="Lexend Light" w:eastAsia="Lexend Light" w:cs="Lexend Light"/>
        </w:rPr>
      </w:pPr>
      <w:r>
        <w:rPr>
          <w:rFonts w:eastAsia="Lexend Light" w:cs="Lexend Light" w:ascii="Lexend Light" w:hAnsi="Lexend Light"/>
          <w:color w:val="000000"/>
        </w:rPr>
        <w:t>El(la) Director(a) de la Fundación Gilberto Alzate Avendaño – FUGA.</w:t>
      </w:r>
    </w:p>
    <w:p>
      <w:pPr>
        <w:pStyle w:val="Normal"/>
        <w:numPr>
          <w:ilvl w:val="0"/>
          <w:numId w:val="5"/>
        </w:numPr>
        <w:pBdr/>
        <w:tabs>
          <w:tab w:val="clear" w:pos="720"/>
          <w:tab w:val="left" w:pos="580" w:leader="none"/>
          <w:tab w:val="left" w:pos="581" w:leader="none"/>
        </w:tabs>
        <w:spacing w:lineRule="auto" w:line="360" w:before="1" w:after="0"/>
        <w:rPr>
          <w:rFonts w:ascii="Lexend Light" w:hAnsi="Lexend Light" w:eastAsia="Lexend Light" w:cs="Lexend Light"/>
        </w:rPr>
      </w:pPr>
      <w:r>
        <w:rPr>
          <w:rFonts w:eastAsia="Lexend Light" w:cs="Lexend Light" w:ascii="Lexend Light" w:hAnsi="Lexend Light"/>
          <w:color w:val="000000"/>
        </w:rPr>
        <w:t>El(la) Director(a) del Instituto Distrital de Recreación y Deporte – IDRD en calidad de invitado.</w:t>
      </w:r>
    </w:p>
    <w:p>
      <w:pPr>
        <w:pStyle w:val="Normal"/>
        <w:numPr>
          <w:ilvl w:val="0"/>
          <w:numId w:val="5"/>
        </w:numPr>
        <w:pBdr/>
        <w:tabs>
          <w:tab w:val="clear" w:pos="720"/>
          <w:tab w:val="left" w:pos="580" w:leader="none"/>
          <w:tab w:val="left" w:pos="581" w:leader="none"/>
        </w:tabs>
        <w:spacing w:lineRule="auto" w:line="360" w:before="1" w:after="0"/>
        <w:rPr>
          <w:rFonts w:ascii="Lexend Light" w:hAnsi="Lexend Light" w:eastAsia="Lexend Light" w:cs="Lexend Light"/>
        </w:rPr>
      </w:pPr>
      <w:r>
        <w:rPr>
          <w:rFonts w:eastAsia="Lexend Light" w:cs="Lexend Light" w:ascii="Lexend Light" w:hAnsi="Lexend Light"/>
          <w:color w:val="000000"/>
        </w:rPr>
        <w:t>El(la) Gerente de Canal Capital como entidad vinculada en calidad de invitado.</w:t>
      </w:r>
    </w:p>
    <w:p>
      <w:pPr>
        <w:pStyle w:val="Normal"/>
        <w:pBdr/>
        <w:spacing w:lineRule="auto" w:line="367" w:before="238" w:after="0"/>
        <w:ind w:left="221" w:right="400" w:hanging="0"/>
        <w:jc w:val="both"/>
        <w:rPr>
          <w:rFonts w:ascii="Lexend Light" w:hAnsi="Lexend Light" w:eastAsia="Lexend Light" w:cs="Lexend Light"/>
          <w:color w:val="000000"/>
        </w:rPr>
      </w:pPr>
      <w:r>
        <w:rPr>
          <w:rFonts w:eastAsia="Lexend Light" w:cs="Lexend Light" w:ascii="Lexend Light" w:hAnsi="Lexend Light"/>
          <w:color w:val="000000"/>
        </w:rPr>
        <w:t>El Comité de Fomento determina para cada convocatoria, las Condiciones Generales de Participación del PDAC, su oferta y asignación presupuestal para cada vigencia, con base en diferentes fuentes entre las que se encuentran:</w:t>
      </w:r>
    </w:p>
    <w:p>
      <w:pPr>
        <w:pStyle w:val="Normal"/>
        <w:numPr>
          <w:ilvl w:val="0"/>
          <w:numId w:val="5"/>
        </w:numPr>
        <w:pBdr/>
        <w:tabs>
          <w:tab w:val="clear" w:pos="720"/>
          <w:tab w:val="left" w:pos="581" w:leader="none"/>
        </w:tabs>
        <w:spacing w:lineRule="auto" w:line="367" w:before="242" w:after="0"/>
        <w:ind w:left="581" w:right="404" w:hanging="360"/>
        <w:jc w:val="both"/>
        <w:rPr>
          <w:rFonts w:ascii="Lexend Light" w:hAnsi="Lexend Light" w:eastAsia="Lexend Light" w:cs="Lexend Light"/>
        </w:rPr>
      </w:pPr>
      <w:r>
        <w:rPr>
          <w:rFonts w:eastAsia="Lexend Light" w:cs="Lexend Light" w:ascii="Lexend Light" w:hAnsi="Lexend Light"/>
          <w:color w:val="000000"/>
        </w:rPr>
        <w:t>Diagnóstico y prioridades de política pública que las entidades del sector cultura realizan a partir de su misionalidad y propósitos estratégicos en el marco del Plan de Desarrollo Distrital vigente.</w:t>
      </w:r>
    </w:p>
    <w:p>
      <w:pPr>
        <w:pStyle w:val="Normal"/>
        <w:numPr>
          <w:ilvl w:val="0"/>
          <w:numId w:val="5"/>
        </w:numPr>
        <w:pBdr/>
        <w:tabs>
          <w:tab w:val="clear" w:pos="720"/>
          <w:tab w:val="left" w:pos="581" w:leader="none"/>
        </w:tabs>
        <w:spacing w:lineRule="auto" w:line="367" w:before="2" w:after="0"/>
        <w:ind w:left="581" w:right="399" w:hanging="360"/>
        <w:jc w:val="both"/>
        <w:rPr>
          <w:rFonts w:ascii="Lexend Light" w:hAnsi="Lexend Light" w:eastAsia="Lexend Light" w:cs="Lexend Light"/>
        </w:rPr>
      </w:pPr>
      <w:r>
        <w:rPr>
          <w:rFonts w:eastAsia="Lexend Light" w:cs="Lexend Light" w:ascii="Lexend Light" w:hAnsi="Lexend Light"/>
          <w:color w:val="000000"/>
        </w:rPr>
        <w:t>Comentarios y sugerencias realizados por las y los participantes de la convocatoria ofertada en la vigencia anterior.</w:t>
      </w:r>
    </w:p>
    <w:p>
      <w:pPr>
        <w:pStyle w:val="Normal"/>
        <w:numPr>
          <w:ilvl w:val="0"/>
          <w:numId w:val="5"/>
        </w:numPr>
        <w:pBdr/>
        <w:tabs>
          <w:tab w:val="clear" w:pos="720"/>
          <w:tab w:val="left" w:pos="581" w:leader="none"/>
        </w:tabs>
        <w:spacing w:lineRule="auto" w:line="367" w:before="2" w:after="0"/>
        <w:ind w:left="581" w:right="399" w:hanging="360"/>
        <w:jc w:val="both"/>
        <w:rPr>
          <w:rFonts w:ascii="Lexend Light" w:hAnsi="Lexend Light" w:eastAsia="Lexend Light" w:cs="Lexend Light"/>
        </w:rPr>
      </w:pPr>
      <w:r>
        <w:rPr>
          <w:rFonts w:eastAsia="Lexend Light" w:cs="Lexend Light" w:ascii="Lexend Light" w:hAnsi="Lexend Light"/>
          <w:color w:val="000000"/>
        </w:rPr>
        <w:t>Comentarios y sugerencias realizadas por la entidad a cargo de la evaluación de proyectos participantes en la convocatoria ofertada en la vigencia anterior.</w:t>
      </w:r>
    </w:p>
    <w:p>
      <w:pPr>
        <w:pStyle w:val="Normal"/>
        <w:numPr>
          <w:ilvl w:val="0"/>
          <w:numId w:val="5"/>
        </w:numPr>
        <w:pBdr/>
        <w:tabs>
          <w:tab w:val="clear" w:pos="720"/>
          <w:tab w:val="left" w:pos="581" w:leader="none"/>
        </w:tabs>
        <w:spacing w:lineRule="auto" w:line="367" w:before="1" w:after="0"/>
        <w:ind w:left="581" w:right="402" w:hanging="360"/>
        <w:jc w:val="both"/>
        <w:rPr>
          <w:rFonts w:ascii="Lexend Light" w:hAnsi="Lexend Light" w:eastAsia="Lexend Light" w:cs="Lexend Light"/>
        </w:rPr>
      </w:pPr>
      <w:r>
        <w:rPr>
          <w:rFonts w:eastAsia="Lexend Light" w:cs="Lexend Light" w:ascii="Lexend Light" w:hAnsi="Lexend Light"/>
          <w:color w:val="000000"/>
        </w:rPr>
        <w:t>Comentarios y sugerencias realizados por las entidades o dependencias que realizaron la interventoría o supervisión a la ejecución de los proyectos apoyados en la vigencia anterior.</w:t>
      </w:r>
    </w:p>
    <w:p>
      <w:pPr>
        <w:pStyle w:val="Normal"/>
        <w:pBdr/>
        <w:spacing w:before="6" w:after="0"/>
        <w:rPr>
          <w:color w:val="000000"/>
          <w:sz w:val="37"/>
          <w:szCs w:val="37"/>
        </w:rPr>
      </w:pPr>
      <w:r>
        <w:rPr>
          <w:color w:val="000000"/>
          <w:sz w:val="37"/>
          <w:szCs w:val="37"/>
        </w:rPr>
      </w:r>
    </w:p>
    <w:p>
      <w:pPr>
        <w:pStyle w:val="Ttulo2"/>
        <w:numPr>
          <w:ilvl w:val="1"/>
          <w:numId w:val="7"/>
        </w:numPr>
        <w:tabs>
          <w:tab w:val="clear" w:pos="720"/>
          <w:tab w:val="left" w:pos="791" w:leader="none"/>
          <w:tab w:val="left" w:pos="2108" w:leader="none"/>
          <w:tab w:val="left" w:pos="2828" w:leader="none"/>
          <w:tab w:val="left" w:pos="3458" w:leader="none"/>
          <w:tab w:val="left" w:pos="5526" w:leader="none"/>
          <w:tab w:val="left" w:pos="6097" w:leader="none"/>
          <w:tab w:val="left" w:pos="8234" w:leader="none"/>
          <w:tab w:val="left" w:pos="8800" w:leader="none"/>
        </w:tabs>
        <w:spacing w:lineRule="auto" w:line="247" w:before="0" w:after="0"/>
        <w:ind w:left="791" w:right="408" w:hanging="570"/>
        <w:rPr>
          <w:rFonts w:ascii="Lexend Light" w:hAnsi="Lexend Light" w:eastAsia="Lexend Light" w:cs="Lexend Light"/>
          <w:color w:val="F150D4"/>
        </w:rPr>
      </w:pPr>
      <w:r>
        <w:rPr>
          <w:rFonts w:eastAsia="Lexend Light" w:cs="Lexend Light" w:ascii="Lexend Light" w:hAnsi="Lexend Light"/>
          <w:color w:val="2E5395"/>
        </w:rPr>
        <w:t>¿Cuáles</w:t>
        <w:tab/>
        <w:t>son</w:t>
        <w:tab/>
        <w:t>las</w:t>
        <w:tab/>
        <w:t>modalidades</w:t>
        <w:tab/>
        <w:t>de</w:t>
        <w:tab/>
        <w:t>participación</w:t>
        <w:tab/>
        <w:t>en</w:t>
        <w:tab/>
        <w:t>el PDAC?</w:t>
      </w:r>
    </w:p>
    <w:p>
      <w:pPr>
        <w:pStyle w:val="Normal"/>
        <w:pBdr/>
        <w:spacing w:lineRule="auto" w:line="367" w:before="236" w:after="0"/>
        <w:ind w:left="221" w:right="409" w:hanging="0"/>
        <w:jc w:val="both"/>
        <w:rPr>
          <w:rFonts w:ascii="Lexend Light" w:hAnsi="Lexend Light" w:eastAsia="Lexend Light" w:cs="Lexend Light"/>
          <w:color w:val="000000"/>
        </w:rPr>
      </w:pPr>
      <w:r>
        <w:rPr>
          <w:rFonts w:eastAsia="Lexend Light" w:cs="Lexend Light" w:ascii="Lexend Light" w:hAnsi="Lexend Light"/>
          <w:color w:val="000000"/>
        </w:rPr>
        <w:t>El PDAC se implementa mediante convocatoria dirigida a entidades privadas, sin ánimo de lucro y de reconocida idoneidad, para que presenten sus proyectos en una de las dos (2) siguientes modalidades de participación:</w:t>
      </w:r>
    </w:p>
    <w:p>
      <w:pPr>
        <w:pStyle w:val="Normal"/>
        <w:numPr>
          <w:ilvl w:val="0"/>
          <w:numId w:val="5"/>
        </w:numPr>
        <w:pBdr/>
        <w:tabs>
          <w:tab w:val="clear" w:pos="720"/>
          <w:tab w:val="left" w:pos="641" w:leader="none"/>
        </w:tabs>
        <w:spacing w:lineRule="auto" w:line="367" w:before="163" w:after="0"/>
        <w:ind w:left="641" w:right="400" w:hanging="375"/>
        <w:jc w:val="both"/>
        <w:rPr>
          <w:rFonts w:ascii="Helvetica Neue" w:hAnsi="Helvetica Neue" w:eastAsia="Helvetica Neue" w:cs="Helvetica Neue"/>
        </w:rPr>
      </w:pPr>
      <w:r>
        <w:rPr>
          <w:rFonts w:eastAsia="Lexend Light" w:cs="Lexend Light" w:ascii="Lexend Light" w:hAnsi="Lexend Light"/>
          <w:b/>
          <w:color w:val="EC4ED0"/>
        </w:rPr>
        <w:t>Proyectos Metropolitanos:</w:t>
      </w:r>
      <w:r>
        <w:rPr>
          <w:rFonts w:eastAsia="Tahoma" w:cs="Tahoma" w:ascii="Tahoma" w:hAnsi="Tahoma"/>
          <w:b/>
          <w:color w:val="EC52C1"/>
        </w:rPr>
        <w:t xml:space="preserve"> </w:t>
      </w:r>
      <w:r>
        <w:rPr>
          <w:rFonts w:eastAsia="Lexend Light" w:cs="Lexend Light" w:ascii="Lexend Light" w:hAnsi="Lexend Light"/>
          <w:color w:val="000000"/>
        </w:rPr>
        <w:t>se realiza mediante invitación directa a aquellos proyectos que cumplen con los criterios establecidos para esta modalidad de participación.</w:t>
      </w:r>
    </w:p>
    <w:p>
      <w:pPr>
        <w:sectPr>
          <w:headerReference w:type="default" r:id="rId8"/>
          <w:footerReference w:type="default" r:id="rId9"/>
          <w:type w:val="nextPage"/>
          <w:pgSz w:w="12240" w:h="15840"/>
          <w:pgMar w:left="1480" w:right="1300" w:header="30" w:top="1500" w:footer="1701" w:bottom="1980" w:gutter="0"/>
          <w:pgNumType w:fmt="decimal"/>
          <w:formProt w:val="false"/>
          <w:textDirection w:val="lrTb"/>
          <w:docGrid w:type="default" w:linePitch="100" w:charSpace="4096"/>
        </w:sectPr>
        <w:pStyle w:val="Normal"/>
        <w:numPr>
          <w:ilvl w:val="0"/>
          <w:numId w:val="5"/>
        </w:numPr>
        <w:pBdr/>
        <w:tabs>
          <w:tab w:val="clear" w:pos="720"/>
          <w:tab w:val="left" w:pos="640" w:leader="none"/>
          <w:tab w:val="left" w:pos="641" w:leader="none"/>
        </w:tabs>
        <w:spacing w:before="200" w:after="0"/>
        <w:ind w:left="641" w:hanging="375"/>
        <w:rPr>
          <w:rFonts w:ascii="Lexend Light" w:hAnsi="Lexend Light" w:eastAsia="Lexend Light" w:cs="Lexend Light"/>
        </w:rPr>
      </w:pPr>
      <w:r>
        <w:rPr>
          <w:rFonts w:eastAsia="Lexend Light" w:cs="Lexend Light" w:ascii="Lexend Light" w:hAnsi="Lexend Light"/>
          <w:b/>
          <w:color w:val="EC4ED0"/>
        </w:rPr>
        <w:t>Proyectos Locales e Interlocales</w:t>
      </w:r>
      <w:r>
        <w:rPr>
          <w:color w:val="EC52C1"/>
        </w:rPr>
        <w:t xml:space="preserve">: </w:t>
      </w:r>
      <w:r>
        <w:rPr>
          <w:rFonts w:eastAsia="Lexend Light" w:cs="Lexend Light" w:ascii="Lexend Light" w:hAnsi="Lexend Light"/>
          <w:color w:val="000000"/>
        </w:rPr>
        <w:t>se realiza mediante convocatoria abierta.</w:t>
      </w:r>
    </w:p>
    <w:p>
      <w:pPr>
        <w:pStyle w:val="Ttulo1"/>
        <w:numPr>
          <w:ilvl w:val="0"/>
          <w:numId w:val="7"/>
        </w:numPr>
        <w:tabs>
          <w:tab w:val="clear" w:pos="720"/>
          <w:tab w:val="left" w:pos="641" w:leader="none"/>
        </w:tabs>
        <w:spacing w:lineRule="auto" w:line="247"/>
        <w:ind w:left="641" w:right="688" w:hanging="420"/>
        <w:rPr>
          <w:rFonts w:ascii="Lexend Light" w:hAnsi="Lexend Light" w:eastAsia="Lexend Light" w:cs="Lexend Light"/>
          <w:color w:val="EC52C1"/>
        </w:rPr>
      </w:pPr>
      <w:r>
        <w:rPr>
          <w:rFonts w:eastAsia="Lexend Light" w:cs="Lexend Light" w:ascii="Lexend Light" w:hAnsi="Lexend Light"/>
          <w:color w:val="2E5395"/>
        </w:rPr>
        <w:t>Programa Distrital de Apoyos Concertados-PDAC, modalidad Proyectos Locales e Interlocales</w:t>
      </w:r>
    </w:p>
    <w:p>
      <w:pPr>
        <w:pStyle w:val="Normal"/>
        <w:pBdr/>
        <w:rPr>
          <w:rFonts w:ascii="Tahoma" w:hAnsi="Tahoma" w:eastAsia="Tahoma" w:cs="Tahoma"/>
          <w:b/>
          <w:b/>
          <w:color w:val="000000"/>
          <w:sz w:val="37"/>
          <w:szCs w:val="37"/>
        </w:rPr>
      </w:pPr>
      <w:r>
        <w:rPr>
          <w:rFonts w:eastAsia="Tahoma" w:cs="Tahoma" w:ascii="Tahoma" w:hAnsi="Tahoma"/>
          <w:b/>
          <w:color w:val="000000"/>
          <w:sz w:val="37"/>
          <w:szCs w:val="37"/>
        </w:rPr>
      </w:r>
    </w:p>
    <w:p>
      <w:pPr>
        <w:pStyle w:val="Ttulo2"/>
        <w:numPr>
          <w:ilvl w:val="1"/>
          <w:numId w:val="7"/>
        </w:numPr>
        <w:tabs>
          <w:tab w:val="clear" w:pos="720"/>
          <w:tab w:val="left" w:pos="940" w:leader="none"/>
          <w:tab w:val="left" w:pos="941" w:leader="none"/>
        </w:tabs>
        <w:spacing w:before="0" w:after="0"/>
        <w:ind w:left="941" w:hanging="720"/>
        <w:rPr>
          <w:rFonts w:ascii="Lexend Light" w:hAnsi="Lexend Light" w:eastAsia="Lexend Light" w:cs="Lexend Light"/>
          <w:color w:val="F150D4"/>
        </w:rPr>
      </w:pPr>
      <w:r>
        <w:rPr>
          <w:rFonts w:eastAsia="Lexend Light" w:cs="Lexend Light" w:ascii="Lexend Light" w:hAnsi="Lexend Light"/>
          <w:color w:val="2E5395"/>
        </w:rPr>
        <w:t>¿Qué es un Proyecto local e interlocal?</w:t>
      </w:r>
    </w:p>
    <w:p>
      <w:pPr>
        <w:pStyle w:val="Normal"/>
        <w:spacing w:lineRule="auto" w:line="367"/>
        <w:ind w:right="403" w:hanging="0"/>
        <w:jc w:val="both"/>
        <w:rPr>
          <w:rFonts w:ascii="Lexend Light" w:hAnsi="Lexend Light" w:eastAsia="Lexend Light" w:cs="Lexend Light"/>
        </w:rPr>
      </w:pPr>
      <w:r>
        <w:rPr>
          <w:rFonts w:eastAsia="Lexend Light" w:cs="Lexend Light" w:ascii="Lexend Light" w:hAnsi="Lexend Light"/>
        </w:rPr>
      </w:r>
    </w:p>
    <w:p>
      <w:pPr>
        <w:pStyle w:val="Normal"/>
        <w:spacing w:lineRule="auto" w:line="367"/>
        <w:ind w:left="240" w:right="403" w:hanging="0"/>
        <w:jc w:val="both"/>
        <w:rPr/>
      </w:pPr>
      <w:r>
        <w:rPr>
          <w:rFonts w:eastAsia="Lexend Light" w:cs="Lexend Light" w:ascii="Lexend Light" w:hAnsi="Lexend Light"/>
        </w:rPr>
        <w:t>Es un proyecto de iniciativa privada, de interés público y presentado por una entidad sin ánimo de lucro de carácter artístico, cultural, patrimonial y creativo. Los proyectos locales e interlocales tienen alcance directo en el territorio y la población, barrial o veredal, de una o varias localidades de Bogotá D.C., entendidos los conceptos de barrio y vereda de manera multidimensional en su vecindad física, territorial, sociocultural e identitaria. Además:</w:t>
      </w:r>
    </w:p>
    <w:p>
      <w:pPr>
        <w:pStyle w:val="Normal"/>
        <w:numPr>
          <w:ilvl w:val="0"/>
          <w:numId w:val="5"/>
        </w:numPr>
        <w:pBdr/>
        <w:tabs>
          <w:tab w:val="clear" w:pos="720"/>
          <w:tab w:val="left" w:pos="580" w:leader="none"/>
          <w:tab w:val="left" w:pos="581" w:leader="none"/>
        </w:tabs>
        <w:spacing w:lineRule="auto" w:line="367" w:before="243" w:after="0"/>
        <w:ind w:left="581" w:right="406" w:hanging="360"/>
        <w:rPr>
          <w:rFonts w:ascii="Lexend Light" w:hAnsi="Lexend Light" w:eastAsia="Lexend Light" w:cs="Lexend Light"/>
        </w:rPr>
      </w:pPr>
      <w:r>
        <w:rPr>
          <w:rFonts w:eastAsia="Lexend Light" w:cs="Lexend Light" w:ascii="Lexend Light" w:hAnsi="Lexend Light"/>
          <w:color w:val="000000"/>
        </w:rPr>
        <w:t>Pueden ser nuevos o recurrentes (con versiones anteriores) con proyección en la localidad o localidades que intervienen.</w:t>
      </w:r>
    </w:p>
    <w:p>
      <w:pPr>
        <w:pStyle w:val="Normal"/>
        <w:numPr>
          <w:ilvl w:val="0"/>
          <w:numId w:val="5"/>
        </w:numPr>
        <w:pBdr/>
        <w:tabs>
          <w:tab w:val="clear" w:pos="720"/>
          <w:tab w:val="left" w:pos="580" w:leader="none"/>
          <w:tab w:val="left" w:pos="581" w:leader="none"/>
        </w:tabs>
        <w:spacing w:lineRule="auto" w:line="367" w:before="243" w:after="0"/>
        <w:ind w:left="581" w:right="406" w:hanging="360"/>
        <w:rPr>
          <w:rFonts w:ascii="Lexend Light" w:hAnsi="Lexend Light" w:eastAsia="Lexend Light" w:cs="Lexend Light"/>
        </w:rPr>
      </w:pPr>
      <w:r>
        <w:rPr>
          <w:rFonts w:eastAsia="Lexend Light" w:cs="Lexend Light" w:ascii="Lexend Light" w:hAnsi="Lexend Light"/>
          <w:color w:val="000000"/>
        </w:rPr>
        <w:t>Aporta</w:t>
      </w:r>
      <w:r>
        <w:rPr>
          <w:rFonts w:eastAsia="Lexend Light" w:cs="Lexend Light" w:ascii="Lexend Light" w:hAnsi="Lexend Light"/>
        </w:rPr>
        <w:t>n</w:t>
      </w:r>
      <w:r>
        <w:rPr>
          <w:rFonts w:eastAsia="Lexend Light" w:cs="Lexend Light" w:ascii="Lexend Light" w:hAnsi="Lexend Light"/>
          <w:color w:val="000000"/>
        </w:rPr>
        <w:t xml:space="preserve"> a la construcción y al fortalecimiento de la dinámica del ecosistema cultural en la localidad o localidades que intervienen.</w:t>
      </w:r>
    </w:p>
    <w:p>
      <w:pPr>
        <w:pStyle w:val="Normal"/>
        <w:pBdr/>
        <w:spacing w:lineRule="auto" w:line="367" w:before="99" w:after="0"/>
        <w:ind w:left="221" w:right="404" w:hanging="0"/>
        <w:jc w:val="both"/>
        <w:rPr>
          <w:rFonts w:ascii="Lexend Light" w:hAnsi="Lexend Light" w:eastAsia="Lexend Light" w:cs="Lexend Light"/>
          <w:color w:val="000000"/>
        </w:rPr>
      </w:pPr>
      <w:r>
        <w:rPr>
          <w:rFonts w:eastAsia="Lexend Light" w:cs="Lexend Light" w:ascii="Lexend Light" w:hAnsi="Lexend Light"/>
          <w:color w:val="000000"/>
        </w:rPr>
        <w:t>Si el proyecto presentado es recurrente, es importante que en su concepción y metodología exprese mejoras, reﬂexiones e innovaciones en relación con sus versiones anteriores, que lo adecuen a los tiempos y desafíos actuales.</w:t>
      </w:r>
    </w:p>
    <w:p>
      <w:pPr>
        <w:pStyle w:val="Normal"/>
        <w:spacing w:lineRule="auto" w:line="367"/>
        <w:ind w:left="221" w:right="399" w:hanging="0"/>
        <w:jc w:val="both"/>
        <w:rPr>
          <w:rFonts w:ascii="Lexend Light" w:hAnsi="Lexend Light" w:eastAsia="Lexend Light" w:cs="Lexend Light"/>
        </w:rPr>
      </w:pPr>
      <w:r>
        <w:rPr>
          <w:rFonts w:eastAsia="Lexend Light" w:cs="Lexend Light" w:ascii="Lexend Light" w:hAnsi="Lexend Light"/>
        </w:rPr>
      </w:r>
    </w:p>
    <w:p>
      <w:pPr>
        <w:pStyle w:val="Normal"/>
        <w:ind w:left="542" w:right="360" w:hanging="0"/>
        <w:jc w:val="both"/>
        <w:rPr>
          <w:rFonts w:ascii="Lexend Light" w:hAnsi="Lexend Light" w:eastAsia="Lexend Light" w:cs="Lexend Light"/>
        </w:rPr>
      </w:pPr>
      <w:r>
        <w:rPr>
          <w:rFonts w:eastAsia="Lexend Light" w:cs="Lexend Light" w:ascii="Lexend Light" w:hAnsi="Lexend Light"/>
        </w:rPr>
      </w:r>
    </w:p>
    <w:p>
      <w:pPr>
        <w:pStyle w:val="Ttulo2"/>
        <w:numPr>
          <w:ilvl w:val="1"/>
          <w:numId w:val="7"/>
        </w:numPr>
        <w:tabs>
          <w:tab w:val="clear" w:pos="720"/>
          <w:tab w:val="left" w:pos="940" w:leader="none"/>
          <w:tab w:val="left" w:pos="941" w:leader="none"/>
        </w:tabs>
        <w:spacing w:before="163" w:after="0"/>
        <w:ind w:left="941" w:hanging="720"/>
        <w:rPr>
          <w:rFonts w:ascii="Lexend Light" w:hAnsi="Lexend Light" w:eastAsia="Lexend Light" w:cs="Lexend Light"/>
          <w:color w:val="F150D4"/>
        </w:rPr>
      </w:pPr>
      <w:r>
        <w:rPr>
          <w:rFonts w:eastAsia="Lexend Light" w:cs="Lexend Light" w:ascii="Lexend Light" w:hAnsi="Lexend Light"/>
          <w:color w:val="2E5395"/>
        </w:rPr>
        <w:t>¿Quiénes pueden participar?</w:t>
      </w:r>
    </w:p>
    <w:p>
      <w:pPr>
        <w:pStyle w:val="Normal"/>
        <w:pBdr/>
        <w:spacing w:before="3" w:after="0"/>
        <w:rPr>
          <w:rFonts w:ascii="Tahoma" w:hAnsi="Tahoma" w:eastAsia="Tahoma" w:cs="Tahoma"/>
          <w:b/>
          <w:b/>
          <w:color w:val="000000"/>
          <w:sz w:val="35"/>
          <w:szCs w:val="35"/>
        </w:rPr>
      </w:pPr>
      <w:r>
        <w:rPr>
          <w:rFonts w:eastAsia="Tahoma" w:cs="Tahoma" w:ascii="Tahoma" w:hAnsi="Tahoma"/>
          <w:b/>
          <w:color w:val="000000"/>
          <w:sz w:val="35"/>
          <w:szCs w:val="35"/>
        </w:rPr>
      </w:r>
    </w:p>
    <w:p>
      <w:pPr>
        <w:pStyle w:val="Normal"/>
        <w:pBdr/>
        <w:spacing w:lineRule="auto" w:line="367" w:before="1" w:after="0"/>
        <w:ind w:left="221" w:right="405" w:hanging="0"/>
        <w:jc w:val="both"/>
        <w:rPr>
          <w:rFonts w:ascii="Lexend Light" w:hAnsi="Lexend Light" w:eastAsia="Lexend Light" w:cs="Lexend Light"/>
          <w:color w:val="000000"/>
        </w:rPr>
      </w:pPr>
      <w:r>
        <w:rPr>
          <w:rFonts w:eastAsia="Lexend Light" w:cs="Lexend Light" w:ascii="Lexend Light" w:hAnsi="Lexend Light"/>
          <w:color w:val="000000"/>
        </w:rPr>
        <w:t>Personas jurídicas del sector privado, constituidas en Colombia como entidades sin ánimo de lucro, cuyo domicilio principal o de alguna de sus sedes se encuentre ubicado en Bogotá D.C., y que cumplan con los siguientes requisitos:</w:t>
      </w:r>
    </w:p>
    <w:p>
      <w:pPr>
        <w:pStyle w:val="Normal"/>
        <w:numPr>
          <w:ilvl w:val="0"/>
          <w:numId w:val="5"/>
        </w:numPr>
        <w:pBdr/>
        <w:tabs>
          <w:tab w:val="clear" w:pos="720"/>
          <w:tab w:val="left" w:pos="581" w:leader="none"/>
        </w:tabs>
        <w:spacing w:lineRule="auto" w:line="367" w:before="2" w:after="0"/>
        <w:ind w:left="581" w:right="407" w:hanging="360"/>
        <w:jc w:val="both"/>
        <w:rPr>
          <w:rFonts w:ascii="Lexend Light" w:hAnsi="Lexend Light" w:eastAsia="Lexend Light" w:cs="Lexend Light"/>
        </w:rPr>
      </w:pPr>
      <w:r>
        <w:rPr>
          <w:rFonts w:eastAsia="Lexend Light" w:cs="Lexend Light" w:ascii="Lexend Light" w:hAnsi="Lexend Light"/>
          <w:color w:val="000000"/>
        </w:rPr>
        <w:t>Que el término de duración registrado en su certiﬁcado de existencia y representación legal, sea equivalente por lo menos, al término de ejecución del proyecto presentado y tres (3) años más.</w:t>
      </w:r>
    </w:p>
    <w:p>
      <w:pPr>
        <w:pStyle w:val="Normal"/>
        <w:numPr>
          <w:ilvl w:val="0"/>
          <w:numId w:val="5"/>
        </w:numPr>
        <w:pBdr/>
        <w:tabs>
          <w:tab w:val="clear" w:pos="720"/>
          <w:tab w:val="left" w:pos="581" w:leader="none"/>
        </w:tabs>
        <w:spacing w:lineRule="auto" w:line="367" w:before="2" w:after="0"/>
        <w:ind w:left="581" w:right="407" w:hanging="360"/>
        <w:jc w:val="both"/>
        <w:rPr>
          <w:rFonts w:ascii="Lexend Light" w:hAnsi="Lexend Light" w:eastAsia="Lexend Light" w:cs="Lexend Light"/>
        </w:rPr>
      </w:pPr>
      <w:r>
        <w:rPr>
          <w:rFonts w:eastAsia="Lexend Light" w:cs="Lexend Light" w:ascii="Lexend Light" w:hAnsi="Lexend Light"/>
          <w:color w:val="000000"/>
        </w:rPr>
        <w:t>Que su objeto social incluya de manera explícita la realización de programas y proyectos de carácter artístico, cultural, patrimonial o creativo relacionados con la presente convocatoria.</w:t>
      </w:r>
    </w:p>
    <w:p>
      <w:pPr>
        <w:pStyle w:val="Normal"/>
        <w:numPr>
          <w:ilvl w:val="0"/>
          <w:numId w:val="5"/>
        </w:numPr>
        <w:pBdr/>
        <w:tabs>
          <w:tab w:val="clear" w:pos="720"/>
          <w:tab w:val="left" w:pos="581" w:leader="none"/>
        </w:tabs>
        <w:spacing w:lineRule="auto" w:line="367" w:before="2" w:after="0"/>
        <w:ind w:left="581" w:right="407" w:hanging="360"/>
        <w:jc w:val="both"/>
        <w:rPr>
          <w:rFonts w:ascii="Lexend Light" w:hAnsi="Lexend Light" w:eastAsia="Lexend Light" w:cs="Lexend Light"/>
        </w:rPr>
      </w:pPr>
      <w:r>
        <w:rPr>
          <w:rFonts w:eastAsia="Lexend Light" w:cs="Lexend Light" w:ascii="Lexend Light" w:hAnsi="Lexend Light"/>
          <w:color w:val="000000"/>
        </w:rPr>
        <w:t>Que puedan acreditar idoneidad administrativa en la organización y ejecución de programas y proyectos con resultados comprobables en Bogotá D.C.</w:t>
      </w:r>
    </w:p>
    <w:p>
      <w:pPr>
        <w:pStyle w:val="Normal"/>
        <w:numPr>
          <w:ilvl w:val="0"/>
          <w:numId w:val="5"/>
        </w:numPr>
        <w:pBdr/>
        <w:tabs>
          <w:tab w:val="clear" w:pos="720"/>
          <w:tab w:val="left" w:pos="581" w:leader="none"/>
        </w:tabs>
        <w:spacing w:lineRule="auto" w:line="367" w:before="2" w:after="0"/>
        <w:ind w:left="581" w:right="407" w:hanging="360"/>
        <w:jc w:val="both"/>
        <w:rPr>
          <w:rFonts w:ascii="Lexend Light" w:hAnsi="Lexend Light" w:eastAsia="Lexend Light" w:cs="Lexend Light"/>
        </w:rPr>
      </w:pPr>
      <w:r>
        <w:rPr>
          <w:rFonts w:eastAsia="Lexend Light" w:cs="Lexend Light" w:ascii="Lexend Light" w:hAnsi="Lexend Light"/>
          <w:color w:val="000000"/>
        </w:rPr>
        <w:t xml:space="preserve">Que se encuentren debidamente registradas en el sistema de información Colombia Compra Eﬁciente / SECOP II. </w:t>
      </w:r>
    </w:p>
    <w:p>
      <w:pPr>
        <w:pStyle w:val="Normal"/>
        <w:pBdr/>
        <w:tabs>
          <w:tab w:val="clear" w:pos="720"/>
          <w:tab w:val="left" w:pos="581" w:leader="none"/>
        </w:tabs>
        <w:spacing w:lineRule="auto" w:line="367" w:before="2" w:after="0"/>
        <w:ind w:left="581" w:right="407" w:hanging="0"/>
        <w:jc w:val="both"/>
        <w:rPr>
          <w:rFonts w:ascii="Lexend Light" w:hAnsi="Lexend Light" w:eastAsia="Lexend Light" w:cs="Lexend Light"/>
          <w:color w:val="000000"/>
        </w:rPr>
      </w:pPr>
      <w:r>
        <w:rPr>
          <w:rFonts w:eastAsia="Lexend Light" w:cs="Lexend Light" w:ascii="Lexend Light" w:hAnsi="Lexend Light"/>
          <w:color w:val="000000"/>
        </w:rPr>
      </w:r>
    </w:p>
    <w:p>
      <w:pPr>
        <w:pStyle w:val="Ttulo2"/>
        <w:numPr>
          <w:ilvl w:val="1"/>
          <w:numId w:val="7"/>
        </w:numPr>
        <w:tabs>
          <w:tab w:val="clear" w:pos="720"/>
          <w:tab w:val="left" w:pos="1019" w:leader="none"/>
          <w:tab w:val="left" w:pos="1020" w:leader="none"/>
        </w:tabs>
        <w:spacing w:before="161" w:after="0"/>
        <w:ind w:left="1019" w:hanging="799"/>
        <w:rPr>
          <w:rFonts w:ascii="Lexend Light" w:hAnsi="Lexend Light" w:eastAsia="Lexend Light" w:cs="Lexend Light"/>
          <w:color w:val="F150D4"/>
        </w:rPr>
      </w:pPr>
      <w:r>
        <w:rPr>
          <w:rFonts w:eastAsia="Lexend Light" w:cs="Lexend Light" w:ascii="Lexend Light" w:hAnsi="Lexend Light"/>
          <w:color w:val="2E5395"/>
        </w:rPr>
        <w:t>¿Quiénes no pueden participar?</w:t>
      </w:r>
    </w:p>
    <w:p>
      <w:pPr>
        <w:pStyle w:val="Normal"/>
        <w:pBdr/>
        <w:spacing w:before="2" w:after="0"/>
        <w:rPr>
          <w:rFonts w:ascii="Tahoma" w:hAnsi="Tahoma" w:eastAsia="Tahoma" w:cs="Tahoma"/>
          <w:b/>
          <w:b/>
          <w:color w:val="000000"/>
          <w:sz w:val="35"/>
          <w:szCs w:val="35"/>
        </w:rPr>
      </w:pPr>
      <w:r>
        <w:rPr>
          <w:rFonts w:eastAsia="Tahoma" w:cs="Tahoma" w:ascii="Tahoma" w:hAnsi="Tahoma"/>
          <w:b/>
          <w:color w:val="000000"/>
          <w:sz w:val="35"/>
          <w:szCs w:val="35"/>
        </w:rPr>
      </w:r>
    </w:p>
    <w:p>
      <w:pPr>
        <w:pStyle w:val="Normal"/>
        <w:numPr>
          <w:ilvl w:val="0"/>
          <w:numId w:val="5"/>
        </w:numPr>
        <w:pBdr/>
        <w:spacing w:lineRule="auto" w:line="367"/>
        <w:ind w:left="581" w:right="401" w:hanging="360"/>
        <w:jc w:val="both"/>
        <w:rPr>
          <w:rFonts w:ascii="Lexend Light" w:hAnsi="Lexend Light" w:eastAsia="Lexend Light" w:cs="Lexend Light"/>
        </w:rPr>
      </w:pPr>
      <w:r>
        <w:rPr>
          <w:rFonts w:eastAsia="Lexend Light" w:cs="Lexend Light" w:ascii="Lexend Light" w:hAnsi="Lexend Light"/>
          <w:color w:val="000000"/>
        </w:rPr>
        <w:t>Personas naturales.</w:t>
      </w:r>
    </w:p>
    <w:p>
      <w:pPr>
        <w:pStyle w:val="Normal"/>
        <w:pBdr/>
        <w:spacing w:before="8" w:after="0"/>
        <w:rPr>
          <w:rFonts w:ascii="Lexend Light" w:hAnsi="Lexend Light" w:eastAsia="Lexend Light" w:cs="Lexend Light"/>
          <w:color w:val="000000"/>
        </w:rPr>
      </w:pPr>
      <w:r>
        <w:rPr>
          <w:rFonts w:eastAsia="Lexend Light" w:cs="Lexend Light" w:ascii="Lexend Light" w:hAnsi="Lexend Light"/>
          <w:color w:val="000000"/>
        </w:rPr>
      </w:r>
    </w:p>
    <w:p>
      <w:pPr>
        <w:pStyle w:val="Normal"/>
        <w:numPr>
          <w:ilvl w:val="0"/>
          <w:numId w:val="5"/>
        </w:numPr>
        <w:pBdr/>
        <w:tabs>
          <w:tab w:val="clear" w:pos="720"/>
          <w:tab w:val="left" w:pos="581" w:leader="none"/>
        </w:tabs>
        <w:spacing w:lineRule="auto" w:line="367"/>
        <w:ind w:left="581" w:right="402" w:hanging="360"/>
        <w:jc w:val="both"/>
        <w:rPr>
          <w:sz w:val="20"/>
          <w:szCs w:val="20"/>
        </w:rPr>
      </w:pPr>
      <w:r>
        <w:rPr>
          <w:rFonts w:eastAsia="Lexend Light" w:cs="Lexend Light" w:ascii="Lexend Light" w:hAnsi="Lexend Light"/>
          <w:color w:val="000000"/>
        </w:rPr>
        <w:t>Personas jurídicas que no estén legalmente constituidas en Colombia o que no cuenten con</w:t>
      </w:r>
      <w:r>
        <w:rPr>
          <w:rFonts w:eastAsia="Lexend Light" w:cs="Lexend Light" w:ascii="Lexend Light" w:hAnsi="Lexend Light"/>
        </w:rPr>
        <w:t xml:space="preserve"> </w:t>
      </w:r>
      <w:r>
        <w:rPr>
          <w:rFonts w:eastAsia="Lexend Light" w:cs="Lexend Light" w:ascii="Lexend Light" w:hAnsi="Lexend Light"/>
          <w:color w:val="000000"/>
        </w:rPr>
        <w:t>domicilio principal o sede en Bogotá D.C.</w:t>
      </w:r>
    </w:p>
    <w:p>
      <w:pPr>
        <w:pStyle w:val="Normal"/>
        <w:numPr>
          <w:ilvl w:val="0"/>
          <w:numId w:val="5"/>
        </w:numPr>
        <w:pBdr/>
        <w:spacing w:lineRule="auto" w:line="367" w:before="241" w:after="0"/>
        <w:ind w:left="581" w:right="401" w:hanging="360"/>
        <w:jc w:val="both"/>
        <w:rPr>
          <w:rFonts w:ascii="Lexend Light" w:hAnsi="Lexend Light" w:eastAsia="Lexend Light" w:cs="Lexend Light"/>
        </w:rPr>
      </w:pPr>
      <w:r>
        <w:rPr>
          <w:rFonts w:eastAsia="Lexend Light" w:cs="Lexend Light" w:ascii="Lexend Light" w:hAnsi="Lexend Light"/>
          <w:color w:val="000000"/>
        </w:rPr>
        <w:t>Personas jurídicas constituidas como entidades privadas sin ánimo de lucro, que en su objeto social principal no incluyan la realización de programas, proyectos, procesos y actividades de carácter artístico, cultural, patrimonial o creativo.</w:t>
      </w:r>
    </w:p>
    <w:p>
      <w:pPr>
        <w:pStyle w:val="Normal"/>
        <w:numPr>
          <w:ilvl w:val="0"/>
          <w:numId w:val="5"/>
        </w:numPr>
        <w:pBdr/>
        <w:spacing w:lineRule="auto" w:line="367" w:before="241" w:after="0"/>
        <w:ind w:left="581" w:right="401" w:hanging="360"/>
        <w:jc w:val="both"/>
        <w:rPr>
          <w:rFonts w:ascii="Lexend Light" w:hAnsi="Lexend Light" w:eastAsia="Lexend Light" w:cs="Lexend Light"/>
        </w:rPr>
      </w:pPr>
      <w:r>
        <w:rPr>
          <w:rFonts w:eastAsia="Lexend Light" w:cs="Lexend Light" w:ascii="Lexend Light" w:hAnsi="Lexend Light"/>
          <w:color w:val="000000"/>
        </w:rPr>
        <w:t>Personas jurídicas con ánimo de lucro, entidades de carácter público, o cajas de compensación familiar.</w:t>
      </w:r>
    </w:p>
    <w:p>
      <w:pPr>
        <w:pStyle w:val="Normal"/>
        <w:numPr>
          <w:ilvl w:val="0"/>
          <w:numId w:val="5"/>
        </w:numPr>
        <w:pBdr/>
        <w:spacing w:lineRule="auto" w:line="367" w:before="241" w:after="0"/>
        <w:ind w:left="581" w:right="401" w:hanging="360"/>
        <w:jc w:val="both"/>
        <w:rPr>
          <w:rFonts w:ascii="Lexend Light" w:hAnsi="Lexend Light" w:eastAsia="Lexend Light" w:cs="Lexend Light"/>
        </w:rPr>
      </w:pPr>
      <w:r>
        <w:rPr>
          <w:rFonts w:eastAsia="Lexend Light" w:cs="Lexend Light" w:ascii="Lexend Light" w:hAnsi="Lexend Light"/>
          <w:color w:val="000000"/>
        </w:rPr>
        <w:t>Personas jurídicas constituidas como entidades sin ánimo de lucro, que se presenten simultáneamente a la convocatoria cerrada del PDAC modalidad proyectos metropolitanos.</w:t>
      </w:r>
    </w:p>
    <w:p>
      <w:pPr>
        <w:pStyle w:val="Normal"/>
        <w:numPr>
          <w:ilvl w:val="0"/>
          <w:numId w:val="5"/>
        </w:numPr>
        <w:pBdr/>
        <w:spacing w:lineRule="auto" w:line="367" w:before="241" w:after="0"/>
        <w:ind w:left="581" w:right="401" w:hanging="360"/>
        <w:jc w:val="both"/>
        <w:rPr>
          <w:rFonts w:ascii="Lexend Light" w:hAnsi="Lexend Light" w:eastAsia="Lexend Light" w:cs="Lexend Light"/>
        </w:rPr>
      </w:pPr>
      <w:r>
        <w:rPr>
          <w:rFonts w:eastAsia="Lexend Light" w:cs="Lexend Light" w:ascii="Lexend Light" w:hAnsi="Lexend Light"/>
          <w:color w:val="000000"/>
        </w:rPr>
        <w:t>Personas jurídicas que se encuentren en proceso de liquidación o disolución.</w:t>
      </w:r>
    </w:p>
    <w:p>
      <w:pPr>
        <w:pStyle w:val="Normal"/>
        <w:numPr>
          <w:ilvl w:val="0"/>
          <w:numId w:val="5"/>
        </w:numPr>
        <w:pBdr/>
        <w:spacing w:lineRule="auto" w:line="367" w:before="241" w:after="0"/>
        <w:ind w:left="581" w:right="401" w:hanging="360"/>
        <w:jc w:val="both"/>
        <w:rPr>
          <w:rFonts w:ascii="Lexend Light" w:hAnsi="Lexend Light" w:eastAsia="Lexend Light" w:cs="Lexend Light"/>
        </w:rPr>
      </w:pPr>
      <w:r>
        <w:rPr>
          <w:rFonts w:eastAsia="Lexend Light" w:cs="Lexend Light" w:ascii="Lexend Light" w:hAnsi="Lexend Light"/>
          <w:color w:val="000000"/>
        </w:rPr>
        <w:t>Personas jurídicas que tengan como representante legal, integrante de su junta directiva o cualquier cargo de dirección o manejo, a un funcionario público o contratista de SCRD, IDARTES, IDPC, OFB o FUGA (</w:t>
      </w:r>
      <w:r>
        <w:rPr>
          <w:rFonts w:eastAsia="Lexend Light" w:cs="Lexend Light" w:ascii="Lexend Light" w:hAnsi="Lexend Light"/>
        </w:rPr>
        <w:t>e</w:t>
      </w:r>
      <w:r>
        <w:rPr>
          <w:rFonts w:eastAsia="Lexend Light" w:cs="Lexend Light" w:ascii="Lexend Light" w:hAnsi="Lexend Light"/>
          <w:color w:val="000000"/>
        </w:rPr>
        <w:t>sta inhabilidad no se aplicará cuando por disposición legal o estatutaria, el servidor público deb</w:t>
      </w:r>
      <w:r>
        <w:rPr>
          <w:rFonts w:eastAsia="Lexend Light" w:cs="Lexend Light" w:ascii="Lexend Light" w:hAnsi="Lexend Light"/>
        </w:rPr>
        <w:t>a</w:t>
      </w:r>
      <w:r>
        <w:rPr>
          <w:rFonts w:eastAsia="Lexend Light" w:cs="Lexend Light" w:ascii="Lexend Light" w:hAnsi="Lexend Light"/>
          <w:color w:val="000000"/>
        </w:rPr>
        <w:t xml:space="preserve"> desempeñar en la persona jurídica, cargos de dirección o manejo).</w:t>
      </w:r>
    </w:p>
    <w:p>
      <w:pPr>
        <w:pStyle w:val="Normal"/>
        <w:numPr>
          <w:ilvl w:val="0"/>
          <w:numId w:val="5"/>
        </w:numPr>
        <w:pBdr/>
        <w:spacing w:lineRule="auto" w:line="367" w:before="241" w:after="0"/>
        <w:ind w:left="581" w:right="401" w:hanging="360"/>
        <w:jc w:val="both"/>
        <w:rPr>
          <w:rFonts w:ascii="Lexend Light" w:hAnsi="Lexend Light" w:eastAsia="Lexend Light" w:cs="Lexend Light"/>
        </w:rPr>
      </w:pPr>
      <w:r>
        <w:rPr>
          <w:rFonts w:eastAsia="Lexend Light" w:cs="Lexend Light" w:ascii="Lexend Light" w:hAnsi="Lexend Light"/>
          <w:color w:val="000000"/>
        </w:rPr>
        <w:t xml:space="preserve">Personas jurídicas constituidas como entidades sin ánimo de lucro, cuyos integrantes de </w:t>
      </w:r>
      <w:r>
        <w:rPr>
          <w:rFonts w:eastAsia="Lexend Light" w:cs="Lexend Light" w:ascii="Lexend Light" w:hAnsi="Lexend Light"/>
        </w:rPr>
        <w:t>su</w:t>
      </w:r>
      <w:r>
        <w:rPr>
          <w:rFonts w:eastAsia="Lexend Light" w:cs="Lexend Light" w:ascii="Lexend Light" w:hAnsi="Lexend Light"/>
          <w:color w:val="000000"/>
        </w:rPr>
        <w:t xml:space="preserve"> junta directiva</w:t>
      </w:r>
      <w:r>
        <w:rPr>
          <w:rFonts w:eastAsia="Lexend Light" w:cs="Lexend Light" w:ascii="Lexend Light" w:hAnsi="Lexend Light"/>
        </w:rPr>
        <w:t xml:space="preserve"> </w:t>
      </w:r>
      <w:r>
        <w:rPr>
          <w:rFonts w:eastAsia="Lexend Light" w:cs="Lexend Light" w:ascii="Lexend Light" w:hAnsi="Lexend Light"/>
          <w:color w:val="000000"/>
        </w:rPr>
        <w:t xml:space="preserve">o su </w:t>
      </w:r>
      <w:r>
        <w:rPr>
          <w:rFonts w:eastAsia="Lexend Light" w:cs="Lexend Light" w:ascii="Lexend Light" w:hAnsi="Lexend Light"/>
        </w:rPr>
        <w:t>representante</w:t>
      </w:r>
      <w:r>
        <w:rPr>
          <w:rFonts w:eastAsia="Lexend Light" w:cs="Lexend Light" w:ascii="Lexend Light" w:hAnsi="Lexend Light"/>
          <w:color w:val="000000"/>
        </w:rPr>
        <w:t xml:space="preserve"> legal tengan vínculos de parentesco hasta el segundo grado de consanguinida</w:t>
      </w:r>
      <w:r>
        <w:rPr>
          <w:rFonts w:eastAsia="Lexend Light" w:cs="Lexend Light" w:ascii="Lexend Light" w:hAnsi="Lexend Light"/>
        </w:rPr>
        <w:t>d [hijos(as), padre o madre, abuelos(as), nietos(as), hermanos(as)], segundo de afinidad [yerno, nuera, suegros(as), abuelos(as) del cónyuge, cuñados(as)], primer grado de parentesco civil (padre o madre adoptante e hijas e hijos adoptivos), cónyuge, compañero o compañera permanente, con servidores públicos, empleados(as) oficiales o contratistas de la SCRD, de sus entidades adscritas: IDARTES, IDPC, OFB, FUGA o de su entidad vinculada: Canal Capital</w:t>
      </w:r>
      <w:r>
        <w:rPr>
          <w:rFonts w:eastAsia="Lexend Light" w:cs="Lexend Light" w:ascii="Lexend Light" w:hAnsi="Lexend Light"/>
          <w:color w:val="000000"/>
        </w:rPr>
        <w:t>.</w:t>
      </w:r>
    </w:p>
    <w:p>
      <w:pPr>
        <w:pStyle w:val="Normal"/>
        <w:pBdr/>
        <w:spacing w:before="6" w:after="0"/>
        <w:rPr>
          <w:color w:val="000000"/>
          <w:sz w:val="17"/>
          <w:szCs w:val="17"/>
        </w:rPr>
      </w:pPr>
      <w:r>
        <w:rPr>
          <w:color w:val="000000"/>
          <w:sz w:val="17"/>
          <w:szCs w:val="17"/>
        </w:rPr>
      </w:r>
    </w:p>
    <w:p>
      <w:pPr>
        <w:pStyle w:val="Normal"/>
        <w:numPr>
          <w:ilvl w:val="0"/>
          <w:numId w:val="5"/>
        </w:numPr>
        <w:pBdr/>
        <w:tabs>
          <w:tab w:val="clear" w:pos="720"/>
          <w:tab w:val="left" w:pos="581" w:leader="none"/>
        </w:tabs>
        <w:spacing w:lineRule="auto" w:line="367" w:before="99" w:after="0"/>
        <w:ind w:left="581" w:right="399" w:hanging="360"/>
        <w:jc w:val="both"/>
        <w:rPr>
          <w:rFonts w:ascii="Lexend Light" w:hAnsi="Lexend Light" w:eastAsia="Lexend Light" w:cs="Lexend Light"/>
        </w:rPr>
      </w:pPr>
      <w:r>
        <w:rPr>
          <w:rFonts w:eastAsia="Lexend Light" w:cs="Lexend Light" w:ascii="Lexend Light" w:hAnsi="Lexend Light"/>
          <w:color w:val="000000"/>
        </w:rPr>
        <w:t>Personas jurídicas encargadas de la veriﬁcación de documentación administrativa y técnica, de la veriﬁcación de la idoneidad administrativa de las entidades participantes o de la evaluación técnica de los proyectos participantes del PDAC.</w:t>
      </w:r>
    </w:p>
    <w:p>
      <w:pPr>
        <w:pStyle w:val="Normal"/>
        <w:numPr>
          <w:ilvl w:val="0"/>
          <w:numId w:val="5"/>
        </w:numPr>
        <w:pBdr/>
        <w:tabs>
          <w:tab w:val="clear" w:pos="720"/>
          <w:tab w:val="left" w:pos="581" w:leader="none"/>
        </w:tabs>
        <w:spacing w:lineRule="auto" w:line="367" w:before="242" w:after="0"/>
        <w:ind w:left="581" w:right="401" w:hanging="360"/>
        <w:jc w:val="both"/>
        <w:rPr>
          <w:rFonts w:ascii="Lexend Light" w:hAnsi="Lexend Light" w:eastAsia="Lexend Light" w:cs="Lexend Light"/>
        </w:rPr>
      </w:pPr>
      <w:r>
        <w:rPr>
          <w:rFonts w:eastAsia="Lexend Light" w:cs="Lexend Light" w:ascii="Lexend Light" w:hAnsi="Lexend Light"/>
          <w:color w:val="000000"/>
        </w:rPr>
        <w:t>Personas jurídicas que tengan como representante legal o integrantes de junta directiva a funcionarios públicos o contratistas que hagan parte de los equipos de asesoría, preparación y elaboración de los términos, requisitos y condiciones de la presente convocatoria o de la supervisión o interventoría de los proyectos apoyados.</w:t>
      </w:r>
    </w:p>
    <w:p>
      <w:pPr>
        <w:pStyle w:val="Normal"/>
        <w:numPr>
          <w:ilvl w:val="0"/>
          <w:numId w:val="5"/>
        </w:numPr>
        <w:pBdr/>
        <w:tabs>
          <w:tab w:val="clear" w:pos="720"/>
          <w:tab w:val="left" w:pos="581" w:leader="none"/>
        </w:tabs>
        <w:spacing w:lineRule="auto" w:line="367" w:before="244" w:after="0"/>
        <w:ind w:left="581" w:right="400" w:hanging="360"/>
        <w:jc w:val="both"/>
        <w:rPr>
          <w:rFonts w:ascii="Lexend Light" w:hAnsi="Lexend Light" w:eastAsia="Lexend Light" w:cs="Lexend Light"/>
        </w:rPr>
      </w:pPr>
      <w:r>
        <w:rPr>
          <w:rFonts w:eastAsia="Lexend Light" w:cs="Lexend Light" w:ascii="Lexend Light" w:hAnsi="Lexend Light"/>
          <w:color w:val="000000"/>
        </w:rPr>
        <w:t>Personas jurídicas y su representante legal, que cuenten con alguna causal de inhabilidad, incompatibilidad o prohibición legalmente consagrada o registradas como responsables ﬁscales en el boletín expedido por la Contraloría General de la República o en el boletín de deudores morosos de la Contaduría General, de acuerdo con la normativa vigente.</w:t>
      </w:r>
    </w:p>
    <w:p>
      <w:pPr>
        <w:pStyle w:val="Normal"/>
        <w:numPr>
          <w:ilvl w:val="0"/>
          <w:numId w:val="5"/>
        </w:numPr>
        <w:pBdr/>
        <w:tabs>
          <w:tab w:val="clear" w:pos="720"/>
          <w:tab w:val="left" w:pos="581" w:leader="none"/>
        </w:tabs>
        <w:spacing w:lineRule="auto" w:line="367" w:before="244" w:after="0"/>
        <w:ind w:left="581" w:right="400" w:hanging="360"/>
        <w:jc w:val="both"/>
        <w:rPr>
          <w:rFonts w:ascii="Lexend Light" w:hAnsi="Lexend Light" w:eastAsia="Lexend Light" w:cs="Lexend Light"/>
        </w:rPr>
      </w:pPr>
      <w:r>
        <w:rPr>
          <w:rFonts w:eastAsia="Lexend Light" w:cs="Lexend Light" w:ascii="Lexend Light" w:hAnsi="Lexend Light"/>
          <w:color w:val="000000"/>
        </w:rPr>
        <w:t>Personas jurídicas y su representante legal, que tengan alguna prohibición, inhabilidad e incompatibilidad establecidas en la Constitución y en las Leyes 80 de 1993, 1150 de 2007 y 1474 de 2011, y en las normas que las modiﬁquen, aclaren, adicionen o sustituyan, o en</w:t>
      </w:r>
      <w:r>
        <w:rPr>
          <w:color w:val="000000"/>
        </w:rPr>
        <w:t xml:space="preserve"> </w:t>
      </w:r>
      <w:r>
        <w:rPr>
          <w:rFonts w:eastAsia="Lexend Light" w:cs="Lexend Light" w:ascii="Lexend Light" w:hAnsi="Lexend Light"/>
          <w:color w:val="000000"/>
        </w:rPr>
        <w:t>cualquier otra norma especial.</w:t>
      </w:r>
    </w:p>
    <w:p>
      <w:pPr>
        <w:pStyle w:val="Normal"/>
        <w:numPr>
          <w:ilvl w:val="0"/>
          <w:numId w:val="5"/>
        </w:numPr>
        <w:pBdr/>
        <w:tabs>
          <w:tab w:val="clear" w:pos="720"/>
          <w:tab w:val="left" w:pos="581" w:leader="none"/>
        </w:tabs>
        <w:spacing w:lineRule="auto" w:line="367" w:before="243" w:after="0"/>
        <w:ind w:left="581" w:right="399" w:hanging="360"/>
        <w:jc w:val="both"/>
        <w:rPr>
          <w:rFonts w:ascii="Lexend Light" w:hAnsi="Lexend Light" w:eastAsia="Lexend Light" w:cs="Lexend Light"/>
        </w:rPr>
      </w:pPr>
      <w:r>
        <w:rPr>
          <w:rFonts w:eastAsia="Lexend Light" w:cs="Lexend Light" w:ascii="Lexend Light" w:hAnsi="Lexend Light"/>
          <w:color w:val="000000"/>
        </w:rPr>
        <w:t>Personas jurídicas a quienes la SCRD o sus entidades adscritas, le hayan declarado por acto administrativo debidamente ejecutoriado, incumplimiento en alguno de sus contratos o convenios, durante los dos (2) años anteriores al cierre de la presente convocatoria.</w:t>
      </w:r>
    </w:p>
    <w:p>
      <w:pPr>
        <w:pStyle w:val="Normal"/>
        <w:numPr>
          <w:ilvl w:val="0"/>
          <w:numId w:val="5"/>
        </w:numPr>
        <w:pBdr/>
        <w:tabs>
          <w:tab w:val="clear" w:pos="720"/>
          <w:tab w:val="left" w:pos="581" w:leader="none"/>
        </w:tabs>
        <w:spacing w:lineRule="auto" w:line="367" w:before="243" w:after="0"/>
        <w:ind w:left="581" w:right="412" w:hanging="360"/>
        <w:jc w:val="both"/>
        <w:rPr>
          <w:rFonts w:ascii="Lexend Light" w:hAnsi="Lexend Light" w:eastAsia="Lexend Light" w:cs="Lexend Light"/>
        </w:rPr>
      </w:pPr>
      <w:r>
        <w:rPr>
          <w:rFonts w:eastAsia="Lexend Light" w:cs="Lexend Light" w:ascii="Lexend Light" w:hAnsi="Lexend Light"/>
          <w:color w:val="000000"/>
        </w:rPr>
        <w:t>Instituciones privadas y públicas que prestan servicios de educación superior, preescolar, básica y media.</w:t>
      </w:r>
    </w:p>
    <w:p>
      <w:pPr>
        <w:pStyle w:val="Normal"/>
        <w:pBdr/>
        <w:rPr>
          <w:color w:val="000000"/>
          <w:sz w:val="20"/>
          <w:szCs w:val="20"/>
        </w:rPr>
      </w:pPr>
      <w:r>
        <w:rPr>
          <w:color w:val="000000"/>
          <w:sz w:val="20"/>
          <w:szCs w:val="20"/>
        </w:rPr>
      </w:r>
    </w:p>
    <w:p>
      <w:pPr>
        <w:pStyle w:val="Normal"/>
        <w:pBdr/>
        <w:spacing w:before="6" w:after="0"/>
        <w:rPr>
          <w:color w:val="000000"/>
          <w:sz w:val="17"/>
          <w:szCs w:val="17"/>
        </w:rPr>
      </w:pPr>
      <w:r>
        <w:rPr>
          <w:color w:val="000000"/>
          <w:sz w:val="17"/>
          <w:szCs w:val="17"/>
        </w:rPr>
      </w:r>
    </w:p>
    <w:p>
      <w:pPr>
        <w:pStyle w:val="Ttulo2"/>
        <w:numPr>
          <w:ilvl w:val="1"/>
          <w:numId w:val="7"/>
        </w:numPr>
        <w:tabs>
          <w:tab w:val="clear" w:pos="720"/>
          <w:tab w:val="left" w:pos="940" w:leader="none"/>
          <w:tab w:val="left" w:pos="941" w:leader="none"/>
        </w:tabs>
        <w:spacing w:lineRule="auto" w:line="247"/>
        <w:ind w:left="941" w:right="808" w:hanging="720"/>
        <w:rPr>
          <w:rFonts w:ascii="Lexend Light" w:hAnsi="Lexend Light" w:eastAsia="Lexend Light" w:cs="Lexend Light"/>
          <w:color w:val="F150D4"/>
        </w:rPr>
      </w:pPr>
      <w:r>
        <w:rPr>
          <w:rFonts w:eastAsia="Lexend Light" w:cs="Lexend Light" w:ascii="Lexend Light" w:hAnsi="Lexend Light"/>
          <w:color w:val="2E5395"/>
        </w:rPr>
        <w:t>¿Cuáles son las líneas de participación del PDAC en la modalidad de proyectos locales e interlocales?</w:t>
      </w:r>
    </w:p>
    <w:p>
      <w:pPr>
        <w:pStyle w:val="Normal"/>
        <w:pBdr/>
        <w:spacing w:lineRule="auto" w:line="367" w:before="236" w:after="0"/>
        <w:ind w:left="221" w:right="400" w:hanging="0"/>
        <w:jc w:val="both"/>
        <w:rPr>
          <w:rFonts w:ascii="Tahoma" w:hAnsi="Tahoma" w:eastAsia="Tahoma" w:cs="Tahoma"/>
          <w:b/>
          <w:b/>
          <w:color w:val="000000"/>
        </w:rPr>
      </w:pPr>
      <w:r>
        <w:rPr>
          <w:rFonts w:eastAsia="Lexend Light" w:cs="Lexend Light" w:ascii="Lexend Light" w:hAnsi="Lexend Light"/>
          <w:color w:val="000000"/>
        </w:rPr>
        <w:t>Las líneas de participación del PDAC son ejes temáticos priorizados para cada modalidad, a l</w:t>
      </w:r>
      <w:r>
        <w:rPr>
          <w:rFonts w:eastAsia="Lexend Light" w:cs="Lexend Light" w:ascii="Lexend Light" w:hAnsi="Lexend Light"/>
        </w:rPr>
        <w:t>a</w:t>
      </w:r>
      <w:r>
        <w:rPr>
          <w:rFonts w:eastAsia="Lexend Light" w:cs="Lexend Light" w:ascii="Lexend Light" w:hAnsi="Lexend Light"/>
          <w:color w:val="000000"/>
        </w:rPr>
        <w:t>s cuales los proyectos interesados en participar deben acogerse para la formulación de sus objetivos y alcance, al momento de inscribirse. Los proyectos interesados en participar en la modalidad de proyectos locales e interlocales deben inscribirse</w:t>
      </w:r>
      <w:r>
        <w:rPr>
          <w:color w:val="000000"/>
        </w:rPr>
        <w:t xml:space="preserve"> </w:t>
      </w:r>
      <w:r>
        <w:rPr>
          <w:rFonts w:eastAsia="Lexend Light" w:cs="Lexend Light" w:ascii="Lexend Light" w:hAnsi="Lexend Light"/>
          <w:b/>
          <w:color w:val="EC52C1"/>
        </w:rPr>
        <w:t>en una de las siguientes ocho (8) líneas de participación:</w:t>
      </w:r>
    </w:p>
    <w:p>
      <w:pPr>
        <w:pStyle w:val="Normal"/>
        <w:numPr>
          <w:ilvl w:val="2"/>
          <w:numId w:val="7"/>
        </w:numPr>
        <w:pBdr/>
        <w:tabs>
          <w:tab w:val="clear" w:pos="720"/>
          <w:tab w:val="left" w:pos="941" w:leader="none"/>
        </w:tabs>
        <w:spacing w:before="247" w:after="0"/>
        <w:ind w:left="941" w:hanging="360"/>
        <w:jc w:val="both"/>
        <w:rPr>
          <w:rFonts w:ascii="Lexend" w:hAnsi="Lexend" w:eastAsia="Lexend" w:cs="Lexend"/>
          <w:color w:val="EC4ED0"/>
        </w:rPr>
      </w:pPr>
      <w:r>
        <w:rPr>
          <w:rFonts w:eastAsia="Lexend" w:cs="Lexend" w:ascii="Lexend" w:hAnsi="Lexend"/>
          <w:color w:val="EC4ED0"/>
          <w:u w:val="single"/>
        </w:rPr>
        <w:t xml:space="preserve">Mi casa: lugar de encuentros y festivales </w:t>
      </w:r>
    </w:p>
    <w:p>
      <w:pPr>
        <w:pStyle w:val="Normal"/>
        <w:pBdr/>
        <w:spacing w:before="5" w:after="0"/>
        <w:rPr>
          <w:color w:val="000000"/>
          <w:sz w:val="28"/>
          <w:szCs w:val="28"/>
        </w:rPr>
      </w:pPr>
      <w:r>
        <w:rPr>
          <w:sz w:val="28"/>
          <w:szCs w:val="28"/>
        </w:rPr>
        <w:t xml:space="preserve"> </w:t>
      </w:r>
    </w:p>
    <w:p>
      <w:pPr>
        <w:pStyle w:val="Normal"/>
        <w:pBdr/>
        <w:spacing w:lineRule="auto" w:line="367"/>
        <w:ind w:left="221" w:right="400" w:hanging="0"/>
        <w:jc w:val="both"/>
        <w:rPr>
          <w:rFonts w:ascii="Lexend Light" w:hAnsi="Lexend Light" w:eastAsia="Lexend Light" w:cs="Lexend Light"/>
        </w:rPr>
      </w:pPr>
      <w:r>
        <w:rPr>
          <w:rFonts w:eastAsia="Lexend Light" w:cs="Lexend Light" w:ascii="Lexend Light" w:hAnsi="Lexend Light"/>
        </w:rPr>
        <w:t>Proyectos dirigidos a incentivar y fortalecer las manifestaciones artísticas, culturales, patrimoniales y creativas desarrolladas a nivel barrial o veredal en la localidad o localidades a intervenir. En esta línea pueden presentarse festivales, ﬁestas, carnavales, exposiciones, muestras, conciertos, encuentros, ferias, congresos, seminarios, mercados culturales, entre otros.</w:t>
        <w:tab/>
        <w:br/>
      </w:r>
    </w:p>
    <w:p>
      <w:pPr>
        <w:pStyle w:val="Normal"/>
        <w:pBdr/>
        <w:spacing w:lineRule="auto" w:line="367"/>
        <w:ind w:left="221" w:right="400" w:hanging="0"/>
        <w:jc w:val="both"/>
        <w:rPr>
          <w:rFonts w:ascii="Lexend Light" w:hAnsi="Lexend Light" w:eastAsia="Lexend Light" w:cs="Lexend Light"/>
        </w:rPr>
      </w:pPr>
      <w:r>
        <w:rPr>
          <w:rFonts w:eastAsia="Lexend Light" w:cs="Lexend Light" w:ascii="Lexend Light" w:hAnsi="Lexend Light"/>
        </w:rPr>
        <w:t>Los proyectos presentados deben sustentar de manera clara su aporte a la ampliación de oportunidades para la expresión, el acceso y el disfrute a la oferta artística, cultural, patrimonial o creativa de las comunidades presentes en la localidad o localidades a intervenir. Igualmente, sus estrategias deben promover la circulación y la gestión de públicos en pro de fortalecer la convivencia ciudadana, la transformación social para la vida en comunidad y el papel de lo artístico, lo cultural, lo patrimonial y lo creativo, como derecho.</w:t>
      </w:r>
    </w:p>
    <w:p>
      <w:pPr>
        <w:pStyle w:val="Normal"/>
        <w:pBdr/>
        <w:spacing w:lineRule="auto" w:line="367"/>
        <w:ind w:left="221" w:right="400" w:hanging="0"/>
        <w:jc w:val="both"/>
        <w:rPr>
          <w:rFonts w:ascii="Lexend Light" w:hAnsi="Lexend Light" w:eastAsia="Lexend Light" w:cs="Lexend Light"/>
        </w:rPr>
      </w:pPr>
      <w:r>
        <w:rPr>
          <w:rFonts w:eastAsia="Lexend Light" w:cs="Lexend Light" w:ascii="Lexend Light" w:hAnsi="Lexend Light"/>
        </w:rPr>
      </w:r>
    </w:p>
    <w:p>
      <w:pPr>
        <w:pStyle w:val="Normal"/>
        <w:pBdr/>
        <w:spacing w:lineRule="auto" w:line="367"/>
        <w:ind w:left="221" w:right="400" w:hanging="0"/>
        <w:jc w:val="both"/>
        <w:rPr>
          <w:rFonts w:ascii="Roboto" w:hAnsi="Roboto" w:eastAsia="Roboto" w:cs="Roboto"/>
          <w:i/>
          <w:i/>
          <w:sz w:val="20"/>
          <w:szCs w:val="20"/>
        </w:rPr>
      </w:pPr>
      <w:r>
        <w:rPr>
          <w:rFonts w:eastAsia="Lexend Light" w:cs="Lexend Light" w:ascii="Lexend Light" w:hAnsi="Lexend Light"/>
          <w:color w:val="EC4ED0"/>
        </w:rPr>
        <w:t>Nota.</w:t>
      </w:r>
      <w:r>
        <w:rPr>
          <w:rFonts w:eastAsia="Lexend Light" w:cs="Lexend Light" w:ascii="Lexend Light" w:hAnsi="Lexend Light"/>
        </w:rPr>
        <w:t xml:space="preserve"> Para proyectos relacionados con artes escénicas (danza, música, circo, teatro y magia) se invita a las entidades interesadas en participar, a revisar la pertinencia de inscribir su proyecto en la línea de participación </w:t>
      </w:r>
      <w:r>
        <w:rPr>
          <w:rFonts w:eastAsia="Lexend Light" w:cs="Lexend Light" w:ascii="Lexend Light" w:hAnsi="Lexend Light"/>
          <w:i/>
        </w:rPr>
        <w:t>Procesos de producción y circulación de espectáculos de las artes escénicas. Recursos de la Contribución Parafiscal Cultural - Ley de Espectáculos Públicos-LEP.</w:t>
      </w:r>
    </w:p>
    <w:p>
      <w:pPr>
        <w:pStyle w:val="Normal"/>
        <w:numPr>
          <w:ilvl w:val="2"/>
          <w:numId w:val="7"/>
        </w:numPr>
        <w:pBdr/>
        <w:tabs>
          <w:tab w:val="clear" w:pos="720"/>
          <w:tab w:val="left" w:pos="941" w:leader="none"/>
        </w:tabs>
        <w:spacing w:before="247" w:after="0"/>
        <w:ind w:left="941" w:hanging="360"/>
        <w:jc w:val="both"/>
        <w:rPr>
          <w:rFonts w:ascii="Lexend" w:hAnsi="Lexend" w:eastAsia="Lexend" w:cs="Lexend"/>
          <w:color w:val="EC4ED0"/>
          <w:u w:val="single"/>
        </w:rPr>
      </w:pPr>
      <w:r>
        <w:rPr>
          <w:rFonts w:eastAsia="Lexend" w:cs="Lexend" w:ascii="Lexend" w:hAnsi="Lexend"/>
          <w:color w:val="EC4ED0"/>
          <w:u w:val="single"/>
        </w:rPr>
        <w:t>Procesos de producción y circulación de espectáculos de las artes escénicas. Recursos de la Contribución Parafiscal Cultural - Ley de Espectáculos Públicos (LEP)</w:t>
      </w:r>
    </w:p>
    <w:p>
      <w:pPr>
        <w:pStyle w:val="Normal"/>
        <w:pBdr/>
        <w:spacing w:lineRule="auto" w:line="367" w:before="202" w:after="0"/>
        <w:ind w:left="221" w:right="407" w:hanging="0"/>
        <w:jc w:val="both"/>
        <w:rPr>
          <w:rFonts w:ascii="Lexend Light" w:hAnsi="Lexend Light" w:eastAsia="Lexend Light" w:cs="Lexend Light"/>
        </w:rPr>
      </w:pPr>
      <w:r>
        <w:rPr>
          <w:rFonts w:eastAsia="Lexend Light" w:cs="Lexend Light" w:ascii="Lexend Light" w:hAnsi="Lexend Light"/>
        </w:rPr>
        <w:t>Proyectos dirigidos a realizar procesos de producción y circulación de espectáculos (festivales, carnavales, temporadas, etc.) de las artes escénicas (danza, música, circo, teatro y magia), que se destaquen por su carácter innovador y que contribuyan a la activación y visibilización de diversos espacios tradicionales, alternativos o independientes en a nivel barrial o veredal en la localidad o localidades a intervenir.</w:t>
        <w:tab/>
        <w:br/>
        <w:br/>
        <w:t>Los proyectos presentados deben sustentar su contribución a la ampliación del acceso y el disfrute de la oferta de las artes escénicas, por parte de los y las habitantes de la localidad o localidades a intervenir. Deben incluir su estrategia de producción y circulación con los requerimientos técnicos necesarios para su desarrollo y la cantidad de artistas en escena (iluminación, sonido, vestuario, escenografía, equipos, etc.), su aporte al fortalecimiento de los lenguajes de las artes escénicas y a la inclusión/contratación/dinamización de los agentes de las artes escénicas.</w:t>
      </w:r>
    </w:p>
    <w:p>
      <w:pPr>
        <w:pStyle w:val="Normal"/>
        <w:spacing w:before="200" w:after="0"/>
        <w:jc w:val="both"/>
        <w:rPr>
          <w:rFonts w:ascii="Lexend" w:hAnsi="Lexend" w:eastAsia="Lexend" w:cs="Lexend"/>
          <w:b/>
          <w:b/>
          <w:color w:val="ED4FD0"/>
          <w:sz w:val="24"/>
          <w:szCs w:val="24"/>
        </w:rPr>
      </w:pPr>
      <w:r>
        <w:rPr>
          <w:rFonts w:eastAsia="Lexend" w:cs="Lexend" w:ascii="Lexend" w:hAnsi="Lexend"/>
          <w:b/>
          <w:color w:val="ED4FD0"/>
          <w:sz w:val="24"/>
          <w:szCs w:val="24"/>
        </w:rPr>
        <w:t xml:space="preserve">¿Qué se entiende como Producción y Circulación en esta línea de participación? </w:t>
      </w:r>
    </w:p>
    <w:p>
      <w:pPr>
        <w:pStyle w:val="Ttulo3"/>
        <w:spacing w:lineRule="auto" w:line="247"/>
        <w:ind w:left="221" w:right="413" w:firstLine="221"/>
        <w:jc w:val="both"/>
        <w:rPr>
          <w:rFonts w:ascii="Lexend Light" w:hAnsi="Lexend Light" w:eastAsia="Lexend Light" w:cs="Lexend Light"/>
          <w:sz w:val="22"/>
          <w:szCs w:val="22"/>
        </w:rPr>
      </w:pPr>
      <w:r>
        <w:rPr>
          <w:rFonts w:eastAsia="Lexend Light" w:cs="Lexend Light" w:ascii="Lexend Light" w:hAnsi="Lexend Light"/>
          <w:sz w:val="22"/>
          <w:szCs w:val="22"/>
        </w:rPr>
      </w:r>
    </w:p>
    <w:p>
      <w:pPr>
        <w:pStyle w:val="Normal"/>
        <w:numPr>
          <w:ilvl w:val="0"/>
          <w:numId w:val="5"/>
        </w:numPr>
        <w:pBdr/>
        <w:tabs>
          <w:tab w:val="clear" w:pos="720"/>
          <w:tab w:val="left" w:pos="581" w:leader="none"/>
        </w:tabs>
        <w:spacing w:lineRule="auto" w:line="367" w:before="2" w:after="0"/>
        <w:ind w:left="581" w:right="399" w:hanging="360"/>
        <w:jc w:val="both"/>
        <w:rPr>
          <w:rFonts w:ascii="Lexend Light" w:hAnsi="Lexend Light" w:eastAsia="Lexend Light" w:cs="Lexend Light"/>
        </w:rPr>
      </w:pPr>
      <w:r>
        <w:rPr>
          <w:rFonts w:eastAsia="Lexend Light" w:cs="Lexend Light" w:ascii="Lexend Light" w:hAnsi="Lexend Light"/>
          <w:b/>
          <w:color w:val="EC52C1"/>
          <w:sz w:val="24"/>
          <w:szCs w:val="24"/>
        </w:rPr>
        <w:t>Producción</w:t>
      </w:r>
      <w:r>
        <w:rPr>
          <w:color w:val="EC52C1"/>
        </w:rPr>
        <w:t xml:space="preserve">. </w:t>
      </w:r>
      <w:r>
        <w:rPr>
          <w:rFonts w:eastAsia="Lexend Light" w:cs="Lexend Light" w:ascii="Lexend Light" w:hAnsi="Lexend Light"/>
          <w:color w:val="000000"/>
        </w:rPr>
        <w:t>Conjunto de actividades y procesos que los agentes del sector de las artes escénicas desarrollan para disponer de los elementos técnicos y artísticos necesarios, para la realización de espectáculos públicos de las artes escénicas de acuerdo con lo establecido en el literal a) del artículo 3° de la Ley 1493 de 2011.</w:t>
      </w:r>
    </w:p>
    <w:p>
      <w:pPr>
        <w:pStyle w:val="Normal"/>
        <w:pBdr/>
        <w:spacing w:before="6" w:after="0"/>
        <w:rPr>
          <w:color w:val="000000"/>
          <w:sz w:val="17"/>
          <w:szCs w:val="17"/>
        </w:rPr>
      </w:pPr>
      <w:r>
        <w:rPr>
          <w:color w:val="000000"/>
          <w:sz w:val="17"/>
          <w:szCs w:val="17"/>
        </w:rPr>
      </w:r>
    </w:p>
    <w:p>
      <w:pPr>
        <w:pStyle w:val="Normal"/>
        <w:numPr>
          <w:ilvl w:val="0"/>
          <w:numId w:val="5"/>
        </w:numPr>
        <w:pBdr/>
        <w:tabs>
          <w:tab w:val="clear" w:pos="720"/>
          <w:tab w:val="left" w:pos="581" w:leader="none"/>
        </w:tabs>
        <w:spacing w:lineRule="auto" w:line="367" w:before="2" w:after="0"/>
        <w:ind w:left="581" w:right="399" w:hanging="360"/>
        <w:jc w:val="both"/>
        <w:rPr>
          <w:rFonts w:ascii="Lexend Light" w:hAnsi="Lexend Light" w:eastAsia="Lexend Light" w:cs="Lexend Light"/>
        </w:rPr>
      </w:pPr>
      <w:r>
        <w:rPr>
          <w:rFonts w:eastAsia="Lexend Light" w:cs="Lexend Light" w:ascii="Lexend Light" w:hAnsi="Lexend Light"/>
          <w:b/>
          <w:color w:val="EC52C1"/>
          <w:sz w:val="24"/>
          <w:szCs w:val="24"/>
        </w:rPr>
        <w:t>Circulación</w:t>
      </w:r>
      <w:r>
        <w:rPr>
          <w:rFonts w:eastAsia="Lexend Light" w:cs="Lexend Light" w:ascii="Lexend Light" w:hAnsi="Lexend Light"/>
          <w:color w:val="000000"/>
        </w:rPr>
        <w:t>. Actividades de gestión y puesta en escena de contenidos desarrollados por los agentes del sector de las artes escénicas para la presentación al público en general de los espectáculos públicos de las artes escénicas, de acuerdo con lo establecido en el literal a) del artículo 3° de la Ley 1493 de 2011.</w:t>
      </w:r>
    </w:p>
    <w:p>
      <w:pPr>
        <w:pStyle w:val="Normal"/>
        <w:pBdr/>
        <w:spacing w:lineRule="auto" w:line="367" w:before="244" w:after="0"/>
        <w:ind w:left="221" w:right="402" w:hanging="0"/>
        <w:jc w:val="both"/>
        <w:rPr>
          <w:color w:val="000000"/>
        </w:rPr>
      </w:pPr>
      <w:r>
        <w:rPr>
          <w:rFonts w:eastAsia="Lexend Light" w:cs="Lexend Light" w:ascii="Lexend Light" w:hAnsi="Lexend Light"/>
          <w:color w:val="EC4ED0"/>
        </w:rPr>
        <w:t>Nota 1.</w:t>
      </w:r>
      <w:r>
        <w:rPr>
          <w:color w:val="EC4ED0"/>
        </w:rPr>
        <w:t xml:space="preserve"> </w:t>
      </w:r>
      <w:r>
        <w:rPr>
          <w:rFonts w:eastAsia="Lexend Light" w:cs="Lexend Light" w:ascii="Lexend Light" w:hAnsi="Lexend Light"/>
          <w:color w:val="000000"/>
        </w:rPr>
        <w:t>Las entidades participantes en esta línea deben estar registradas como productores en el Portal Único de Espectáculos Públicos de las Artes Escénicas-PULEP.</w:t>
      </w:r>
    </w:p>
    <w:p>
      <w:pPr>
        <w:pStyle w:val="Normal"/>
        <w:pBdr/>
        <w:spacing w:lineRule="auto" w:line="367" w:before="242" w:after="0"/>
        <w:ind w:left="221" w:right="403" w:hanging="0"/>
        <w:jc w:val="both"/>
        <w:rPr>
          <w:rFonts w:ascii="Lexend Light" w:hAnsi="Lexend Light" w:eastAsia="Lexend Light" w:cs="Lexend Light"/>
          <w:color w:val="000000"/>
        </w:rPr>
      </w:pPr>
      <w:r>
        <w:rPr>
          <w:rFonts w:eastAsia="Lexend Light" w:cs="Lexend Light" w:ascii="Lexend Light" w:hAnsi="Lexend Light"/>
          <w:color w:val="EC4ED0"/>
        </w:rPr>
        <w:t>Nota 2.</w:t>
      </w:r>
      <w:r>
        <w:rPr>
          <w:color w:val="EC4ED0"/>
        </w:rPr>
        <w:t xml:space="preserve"> </w:t>
      </w:r>
      <w:r>
        <w:rPr>
          <w:rFonts w:eastAsia="Lexend Light" w:cs="Lexend Light" w:ascii="Lexend Light" w:hAnsi="Lexend Light"/>
          <w:color w:val="000000"/>
        </w:rPr>
        <w:t xml:space="preserve">No podrán participar en esta línea proyectos </w:t>
      </w:r>
      <w:r>
        <w:rPr>
          <w:rFonts w:eastAsia="Lexend Light" w:cs="Lexend Light" w:ascii="Lexend Light" w:hAnsi="Lexend Light"/>
        </w:rPr>
        <w:t>ganadores</w:t>
      </w:r>
      <w:r>
        <w:rPr>
          <w:rFonts w:eastAsia="Lexend Light" w:cs="Lexend Light" w:ascii="Lexend Light" w:hAnsi="Lexend Light"/>
          <w:color w:val="000000"/>
        </w:rPr>
        <w:t xml:space="preserve"> las convocatorias de la Ley de Espectáculos Públicos-LEP, ofertadas en el marco del Programa Distrital de Estímulos 2024.</w:t>
      </w:r>
    </w:p>
    <w:p>
      <w:pPr>
        <w:pStyle w:val="Normal"/>
        <w:pBdr/>
        <w:spacing w:lineRule="auto" w:line="367" w:before="242" w:after="0"/>
        <w:ind w:left="221" w:right="403" w:hanging="0"/>
        <w:jc w:val="both"/>
        <w:rPr>
          <w:rFonts w:ascii="Lexend Light" w:hAnsi="Lexend Light" w:eastAsia="Lexend Light" w:cs="Lexend Light"/>
        </w:rPr>
      </w:pPr>
      <w:r>
        <w:rPr>
          <w:rFonts w:eastAsia="Lexend Light" w:cs="Lexend Light" w:ascii="Lexend Light" w:hAnsi="Lexend Light"/>
          <w:b/>
          <w:color w:val="ED4FD0"/>
        </w:rPr>
        <w:t>MUY IMPORTANTE</w:t>
      </w:r>
      <w:r>
        <w:rPr>
          <w:rFonts w:eastAsia="Lexend Light" w:cs="Lexend Light" w:ascii="Lexend Light" w:hAnsi="Lexend Light"/>
          <w:color w:val="EC4ED0"/>
        </w:rPr>
        <w:t xml:space="preserve">. </w:t>
      </w:r>
      <w:r>
        <w:rPr>
          <w:rFonts w:eastAsia="Lexend Light" w:cs="Lexend Light" w:ascii="Lexend Light" w:hAnsi="Lexend Light"/>
        </w:rPr>
        <w:t xml:space="preserve">Tenga en cuenta que los proyectos que se presenten a esta línea, no podrán financiar con cargo a los recursos de la contribución parafiscal cultural (LEP), actividades de creación, formación, investigación u, otros gastos que no sean congruentes con la producción o circulación de espectáculos de las artes escénicas (ver </w:t>
      </w:r>
      <w:r>
        <w:rPr>
          <w:rFonts w:eastAsia="Lexend Light" w:cs="Lexend Light" w:ascii="Lexend Light" w:hAnsi="Lexend Light"/>
          <w:i/>
        </w:rPr>
        <w:t>Guía de presupuesto gastos permitidos y no permitidos para el Programa Distrital de Apoyos Concertados-PDAC</w:t>
      </w:r>
      <w:r>
        <w:rPr>
          <w:rFonts w:eastAsia="Lexend Light" w:cs="Lexend Light" w:ascii="Lexend Light" w:hAnsi="Lexend Light"/>
        </w:rPr>
        <w:t>). De incluirse dentro del proyecto, estas actividades deben ser financiadas con cargo a recursos propios de la entidad participante, o de terceros</w:t>
      </w:r>
      <w:r>
        <w:rPr>
          <w:rFonts w:eastAsia="Roboto" w:cs="Roboto" w:ascii="Roboto" w:hAnsi="Roboto"/>
          <w:color w:val="444746"/>
          <w:sz w:val="21"/>
          <w:szCs w:val="21"/>
        </w:rPr>
        <w:t>.</w:t>
      </w:r>
      <w:r>
        <w:rPr>
          <w:rFonts w:eastAsia="Lexend Light" w:cs="Lexend Light" w:ascii="Lexend Light" w:hAnsi="Lexend Light"/>
        </w:rPr>
        <w:t xml:space="preserve"> </w:t>
      </w:r>
    </w:p>
    <w:p>
      <w:pPr>
        <w:pStyle w:val="Normal"/>
        <w:numPr>
          <w:ilvl w:val="2"/>
          <w:numId w:val="7"/>
        </w:numPr>
        <w:pBdr/>
        <w:tabs>
          <w:tab w:val="clear" w:pos="720"/>
          <w:tab w:val="left" w:pos="941" w:leader="none"/>
        </w:tabs>
        <w:spacing w:before="242" w:after="0"/>
        <w:ind w:left="941" w:hanging="360"/>
        <w:jc w:val="both"/>
        <w:rPr>
          <w:rFonts w:ascii="Lexend" w:hAnsi="Lexend" w:eastAsia="Lexend" w:cs="Lexend"/>
          <w:color w:val="EC4ED0"/>
        </w:rPr>
      </w:pPr>
      <w:r>
        <w:rPr>
          <w:rFonts w:eastAsia="Lexend" w:cs="Lexend" w:ascii="Lexend" w:hAnsi="Lexend"/>
          <w:color w:val="EC4ED0"/>
          <w:u w:val="single"/>
        </w:rPr>
        <w:t>Formación y fortalecimiento artístico, cultural, patrimonial o creativo</w:t>
      </w:r>
    </w:p>
    <w:p>
      <w:pPr>
        <w:pStyle w:val="Normal"/>
        <w:pBdr/>
        <w:spacing w:before="5" w:after="0"/>
        <w:rPr>
          <w:color w:val="000000"/>
          <w:sz w:val="28"/>
          <w:szCs w:val="28"/>
        </w:rPr>
      </w:pPr>
      <w:r>
        <w:rPr>
          <w:color w:val="000000"/>
          <w:sz w:val="28"/>
          <w:szCs w:val="28"/>
        </w:rPr>
      </w:r>
    </w:p>
    <w:p>
      <w:pPr>
        <w:pStyle w:val="Normal"/>
        <w:pBdr/>
        <w:spacing w:lineRule="auto" w:line="367"/>
        <w:ind w:left="221" w:right="401" w:hanging="0"/>
        <w:jc w:val="both"/>
        <w:rPr>
          <w:rFonts w:ascii="Lexend Light" w:hAnsi="Lexend Light" w:eastAsia="Lexend Light" w:cs="Lexend Light"/>
        </w:rPr>
      </w:pPr>
      <w:r>
        <w:rPr>
          <w:rFonts w:eastAsia="Lexend Light" w:cs="Lexend Light" w:ascii="Lexend Light" w:hAnsi="Lexend Light"/>
        </w:rPr>
        <w:t>Proyectos encaminados al desarrollo de saberes, a la formación y al fortalecimiento de capacidades y competencias en las diversas áreas del arte, la cultura, el patrimonio o la creación a nivel barrial o veredal, de la localidad o localidades a intervenir</w:t>
      </w:r>
    </w:p>
    <w:p>
      <w:pPr>
        <w:pStyle w:val="Normal"/>
        <w:pBdr/>
        <w:spacing w:lineRule="auto" w:line="367"/>
        <w:ind w:left="221" w:right="401" w:hanging="0"/>
        <w:jc w:val="both"/>
        <w:rPr>
          <w:rFonts w:ascii="Lexend Light" w:hAnsi="Lexend Light" w:eastAsia="Lexend Light" w:cs="Lexend Light"/>
        </w:rPr>
      </w:pPr>
      <w:r>
        <w:rPr>
          <w:rFonts w:eastAsia="Lexend Light" w:cs="Lexend Light" w:ascii="Lexend Light" w:hAnsi="Lexend Light"/>
        </w:rPr>
      </w:r>
    </w:p>
    <w:p>
      <w:pPr>
        <w:pStyle w:val="Normal"/>
        <w:pBdr/>
        <w:spacing w:lineRule="auto" w:line="367"/>
        <w:ind w:left="221" w:right="401" w:hanging="0"/>
        <w:jc w:val="both"/>
        <w:rPr>
          <w:rFonts w:ascii="Lexend Light" w:hAnsi="Lexend Light" w:eastAsia="Lexend Light" w:cs="Lexend Light"/>
        </w:rPr>
      </w:pPr>
      <w:r>
        <w:rPr>
          <w:rFonts w:eastAsia="Lexend Light" w:cs="Lexend Light" w:ascii="Lexend Light" w:hAnsi="Lexend Light"/>
        </w:rPr>
        <w:t>En esta línea pueden presentarse procesos de formación y fortalecimiento con una duración mínima de cuatro (4) meses, dirigidos a: artistas, agrupaciones, colectivos, organizaciones o líderes socioculturales, a formadores o multiplicadores y a población en general desde la primera infancia y a lo largo de la vida.</w:t>
      </w:r>
    </w:p>
    <w:p>
      <w:pPr>
        <w:pStyle w:val="Normal"/>
        <w:pBdr/>
        <w:spacing w:lineRule="auto" w:line="367"/>
        <w:ind w:left="221" w:right="401" w:hanging="0"/>
        <w:jc w:val="both"/>
        <w:rPr>
          <w:rFonts w:ascii="Lexend Light" w:hAnsi="Lexend Light" w:eastAsia="Lexend Light" w:cs="Lexend Light"/>
        </w:rPr>
      </w:pPr>
      <w:r>
        <w:rPr>
          <w:rFonts w:eastAsia="Lexend Light" w:cs="Lexend Light" w:ascii="Lexend Light" w:hAnsi="Lexend Light"/>
        </w:rPr>
      </w:r>
    </w:p>
    <w:p>
      <w:pPr>
        <w:pStyle w:val="Normal"/>
        <w:pBdr/>
        <w:spacing w:lineRule="auto" w:line="367"/>
        <w:ind w:left="221" w:right="401" w:hanging="0"/>
        <w:jc w:val="both"/>
        <w:rPr>
          <w:rFonts w:ascii="Lexend Light" w:hAnsi="Lexend Light" w:eastAsia="Lexend Light" w:cs="Lexend Light"/>
        </w:rPr>
      </w:pPr>
      <w:r>
        <w:rPr>
          <w:rFonts w:eastAsia="Lexend Light" w:cs="Lexend Light" w:ascii="Lexend Light" w:hAnsi="Lexend Light"/>
        </w:rPr>
        <w:t>Los proyectos deben expresar de manera clara, su enfoque pedagógico, metodología a trabajar, el perﬁl de las o los formadores a cargo y el de la población objetivo.</w:t>
      </w:r>
    </w:p>
    <w:p>
      <w:pPr>
        <w:pStyle w:val="Normal"/>
        <w:numPr>
          <w:ilvl w:val="2"/>
          <w:numId w:val="7"/>
        </w:numPr>
        <w:pBdr/>
        <w:tabs>
          <w:tab w:val="clear" w:pos="720"/>
          <w:tab w:val="left" w:pos="941" w:leader="none"/>
        </w:tabs>
        <w:spacing w:before="243" w:after="0"/>
        <w:ind w:left="941" w:hanging="360"/>
        <w:jc w:val="both"/>
        <w:rPr>
          <w:rFonts w:ascii="Lexend" w:hAnsi="Lexend" w:eastAsia="Lexend" w:cs="Lexend"/>
          <w:color w:val="EC4ED0"/>
          <w:u w:val="single"/>
        </w:rPr>
      </w:pPr>
      <w:r>
        <w:rPr>
          <w:rFonts w:eastAsia="Lexend" w:cs="Lexend" w:ascii="Lexend" w:hAnsi="Lexend"/>
          <w:color w:val="EC4ED0"/>
          <w:u w:val="single"/>
        </w:rPr>
        <w:t xml:space="preserve">Dinamización de espacios </w:t>
      </w:r>
    </w:p>
    <w:p>
      <w:pPr>
        <w:pStyle w:val="Normal"/>
        <w:pBdr/>
        <w:spacing w:before="8" w:after="0"/>
        <w:rPr>
          <w:color w:val="000000"/>
          <w:sz w:val="31"/>
          <w:szCs w:val="31"/>
        </w:rPr>
      </w:pPr>
      <w:r>
        <w:rPr>
          <w:color w:val="000000"/>
          <w:sz w:val="31"/>
          <w:szCs w:val="31"/>
        </w:rPr>
      </w:r>
    </w:p>
    <w:p>
      <w:pPr>
        <w:pStyle w:val="Normal"/>
        <w:pBdr/>
        <w:spacing w:lineRule="auto" w:line="367"/>
        <w:ind w:left="221" w:right="407" w:hanging="0"/>
        <w:jc w:val="both"/>
        <w:rPr>
          <w:rFonts w:ascii="Lexend Light" w:hAnsi="Lexend Light" w:eastAsia="Lexend Light" w:cs="Lexend Light"/>
          <w:color w:val="000000"/>
        </w:rPr>
      </w:pPr>
      <w:r>
        <w:rPr>
          <w:rFonts w:eastAsia="Lexend Light" w:cs="Lexend Light" w:ascii="Lexend Light" w:hAnsi="Lexend Light"/>
          <w:color w:val="000000"/>
        </w:rPr>
        <w:t>Proyectos encaminados a fortalecer y a diversiﬁcar la programación o la oferta</w:t>
      </w:r>
      <w:r>
        <w:rPr>
          <w:rFonts w:eastAsia="Lexend Light" w:cs="Lexend Light" w:ascii="Lexend Light" w:hAnsi="Lexend Light"/>
        </w:rPr>
        <w:t xml:space="preserve"> de servicios, </w:t>
      </w:r>
      <w:r>
        <w:rPr>
          <w:rFonts w:eastAsia="Lexend Light" w:cs="Lexend Light" w:ascii="Lexend Light" w:hAnsi="Lexend Light"/>
          <w:color w:val="000000"/>
        </w:rPr>
        <w:t>en sedes físicas o espacios móviles de carácter artístico, cultural, patrimonial o creativo. Estos espacios pueden ser: casas de la cultura, centros culturales, bibliotecas comunitarias, museos, salas para la circulación de las artes escénicas, salas de ensay</w:t>
      </w:r>
      <w:r>
        <w:rPr>
          <w:rFonts w:eastAsia="Lexend Light" w:cs="Lexend Light" w:ascii="Lexend Light" w:hAnsi="Lexend Light"/>
        </w:rPr>
        <w:t xml:space="preserve">o, </w:t>
      </w:r>
      <w:r>
        <w:rPr>
          <w:rFonts w:eastAsia="Lexend Light" w:cs="Lexend Light" w:ascii="Lexend Light" w:hAnsi="Lexend Light"/>
          <w:color w:val="000000"/>
        </w:rPr>
        <w:t xml:space="preserve">librerías, carpas de circo que no involucren animales y, demás espacios o infraestructuras independientes para </w:t>
      </w:r>
      <w:r>
        <w:rPr>
          <w:rFonts w:eastAsia="Lexend Light" w:cs="Lexend Light" w:ascii="Lexend Light" w:hAnsi="Lexend Light"/>
        </w:rPr>
        <w:t xml:space="preserve">la práctica del arte, la cultura y el patrimonio. </w:t>
      </w:r>
    </w:p>
    <w:p>
      <w:pPr>
        <w:pStyle w:val="Normal"/>
        <w:pBdr/>
        <w:spacing w:lineRule="auto" w:line="367"/>
        <w:ind w:left="221" w:right="407" w:hanging="0"/>
        <w:jc w:val="both"/>
        <w:rPr>
          <w:rFonts w:ascii="Lexend Light" w:hAnsi="Lexend Light" w:eastAsia="Lexend Light" w:cs="Lexend Light"/>
          <w:color w:val="000000"/>
        </w:rPr>
      </w:pPr>
      <w:r>
        <w:rPr>
          <w:rFonts w:eastAsia="Lexend Light" w:cs="Lexend Light" w:ascii="Lexend Light" w:hAnsi="Lexend Light"/>
          <w:color w:val="000000"/>
        </w:rPr>
      </w:r>
    </w:p>
    <w:p>
      <w:pPr>
        <w:pStyle w:val="Normal"/>
        <w:pBdr/>
        <w:spacing w:lineRule="auto" w:line="367"/>
        <w:ind w:left="221" w:right="407" w:hanging="0"/>
        <w:jc w:val="both"/>
        <w:rPr>
          <w:rFonts w:ascii="Lexend Light" w:hAnsi="Lexend Light" w:eastAsia="Lexend Light" w:cs="Lexend Light"/>
          <w:color w:val="000000"/>
        </w:rPr>
      </w:pPr>
      <w:r>
        <w:rPr>
          <w:rFonts w:eastAsia="Lexend Light" w:cs="Lexend Light" w:ascii="Lexend Light" w:hAnsi="Lexend Light"/>
          <w:color w:val="000000"/>
        </w:rPr>
        <w:t>Las entidades que presenten su proyecto en esta línea deberán demostrar que cuentan con una infraestructura inmueble o móvil, con oferta</w:t>
      </w:r>
      <w:r>
        <w:rPr>
          <w:rFonts w:eastAsia="Lexend Light" w:cs="Lexend Light" w:ascii="Lexend Light" w:hAnsi="Lexend Light"/>
        </w:rPr>
        <w:t xml:space="preserve"> o </w:t>
      </w:r>
      <w:r>
        <w:rPr>
          <w:rFonts w:eastAsia="Lexend Light" w:cs="Lexend Light" w:ascii="Lexend Light" w:hAnsi="Lexend Light"/>
          <w:color w:val="000000"/>
        </w:rPr>
        <w:t>programación periódica y apertura permanente. Estos espacios pueden ser espacios concebidos o construidos para distintos ﬁnes, pero deberán estar habilitados y acondicionados con unas características técnicas y físicas que permitan el desarrollo de las actividades propuestas.</w:t>
      </w:r>
    </w:p>
    <w:p>
      <w:pPr>
        <w:pStyle w:val="Normal"/>
        <w:pBdr/>
        <w:spacing w:lineRule="auto" w:line="367"/>
        <w:ind w:left="221" w:right="407" w:hanging="0"/>
        <w:jc w:val="both"/>
        <w:rPr>
          <w:rFonts w:ascii="Lexend Light" w:hAnsi="Lexend Light" w:eastAsia="Lexend Light" w:cs="Lexend Light"/>
        </w:rPr>
      </w:pPr>
      <w:r>
        <w:rPr>
          <w:rFonts w:eastAsia="Lexend Light" w:cs="Lexend Light" w:ascii="Lexend Light" w:hAnsi="Lexend Light"/>
        </w:rPr>
      </w:r>
    </w:p>
    <w:p>
      <w:pPr>
        <w:pStyle w:val="Normal"/>
        <w:pBdr/>
        <w:spacing w:lineRule="auto" w:line="367"/>
        <w:ind w:left="221" w:right="407" w:hanging="0"/>
        <w:jc w:val="both"/>
        <w:rPr>
          <w:rFonts w:ascii="Lexend Light" w:hAnsi="Lexend Light" w:eastAsia="Lexend Light" w:cs="Lexend Light"/>
          <w:color w:val="000000"/>
        </w:rPr>
      </w:pPr>
      <w:r>
        <w:rPr>
          <w:rFonts w:eastAsia="Lexend Light" w:cs="Lexend Light" w:ascii="Lexend Light" w:hAnsi="Lexend Light"/>
          <w:color w:val="000000"/>
        </w:rPr>
        <w:t>Los proyectos deben expresar de manera clara su</w:t>
      </w:r>
      <w:r>
        <w:rPr>
          <w:rFonts w:eastAsia="Lexend Light" w:cs="Lexend Light" w:ascii="Lexend Light" w:hAnsi="Lexend Light"/>
        </w:rPr>
        <w:t xml:space="preserve"> aporte a la dinamización de la oferta cultural y </w:t>
      </w:r>
      <w:r>
        <w:rPr>
          <w:rFonts w:eastAsia="Lexend Light" w:cs="Lexend Light" w:ascii="Lexend Light" w:hAnsi="Lexend Light"/>
          <w:color w:val="000000"/>
        </w:rPr>
        <w:t>la incidencia y resultados esperados de las actividades programadas nivel barrial</w:t>
      </w:r>
      <w:r>
        <w:rPr>
          <w:rFonts w:eastAsia="Lexend Light" w:cs="Lexend Light" w:ascii="Lexend Light" w:hAnsi="Lexend Light"/>
        </w:rPr>
        <w:t xml:space="preserve"> o</w:t>
      </w:r>
      <w:r>
        <w:rPr>
          <w:rFonts w:eastAsia="Lexend Light" w:cs="Lexend Light" w:ascii="Lexend Light" w:hAnsi="Lexend Light"/>
          <w:color w:val="000000"/>
        </w:rPr>
        <w:t xml:space="preserve"> veredal</w:t>
      </w:r>
      <w:r>
        <w:rPr>
          <w:rFonts w:eastAsia="Lexend Light" w:cs="Lexend Light" w:ascii="Lexend Light" w:hAnsi="Lexend Light"/>
        </w:rPr>
        <w:t xml:space="preserve"> en la localidad o localidades a intervenir.</w:t>
      </w:r>
    </w:p>
    <w:p>
      <w:pPr>
        <w:pStyle w:val="Normal"/>
        <w:pBdr/>
        <w:spacing w:lineRule="auto" w:line="367"/>
        <w:ind w:left="221" w:right="407" w:hanging="0"/>
        <w:jc w:val="both"/>
        <w:rPr>
          <w:rFonts w:ascii="Lexend Light" w:hAnsi="Lexend Light" w:eastAsia="Lexend Light" w:cs="Lexend Light"/>
          <w:color w:val="000000"/>
        </w:rPr>
      </w:pPr>
      <w:r>
        <w:rPr>
          <w:rFonts w:eastAsia="Lexend Light" w:cs="Lexend Light" w:ascii="Lexend Light" w:hAnsi="Lexend Light"/>
          <w:color w:val="000000"/>
        </w:rPr>
      </w:r>
    </w:p>
    <w:p>
      <w:pPr>
        <w:pStyle w:val="Normal"/>
        <w:pBdr/>
        <w:spacing w:lineRule="auto" w:line="367"/>
        <w:ind w:left="221" w:right="407" w:hanging="0"/>
        <w:jc w:val="both"/>
        <w:rPr>
          <w:rFonts w:ascii="Lexend Light" w:hAnsi="Lexend Light" w:eastAsia="Lexend Light" w:cs="Lexend Light"/>
        </w:rPr>
      </w:pPr>
      <w:r>
        <w:rPr>
          <w:rFonts w:eastAsia="Lexend Light" w:cs="Lexend Light" w:ascii="Lexend Light" w:hAnsi="Lexend Light"/>
          <w:b/>
          <w:color w:val="EC4ED0"/>
        </w:rPr>
        <w:t>Nota</w:t>
      </w:r>
      <w:r>
        <w:rPr>
          <w:rFonts w:eastAsia="Lexend Light" w:cs="Lexend Light" w:ascii="Lexend Light" w:hAnsi="Lexend Light"/>
          <w:color w:val="000000"/>
        </w:rPr>
        <w:t>. No podrán participar en esta línea, las salas de teatro ganadoras de la convocatoria del Programa Distrital de Salas Concertadas de IDARTES 2024</w:t>
      </w:r>
      <w:r>
        <w:rPr>
          <w:rFonts w:eastAsia="Lexend Light" w:cs="Lexend Light" w:ascii="Lexend Light" w:hAnsi="Lexend Light"/>
        </w:rPr>
        <w:t>.</w:t>
      </w:r>
    </w:p>
    <w:p>
      <w:pPr>
        <w:pStyle w:val="Normal"/>
        <w:numPr>
          <w:ilvl w:val="2"/>
          <w:numId w:val="7"/>
        </w:numPr>
        <w:pBdr/>
        <w:tabs>
          <w:tab w:val="clear" w:pos="720"/>
          <w:tab w:val="left" w:pos="941" w:leader="none"/>
        </w:tabs>
        <w:spacing w:before="242" w:after="0"/>
        <w:ind w:left="941" w:hanging="360"/>
        <w:jc w:val="both"/>
        <w:rPr>
          <w:rFonts w:ascii="Lexend" w:hAnsi="Lexend" w:eastAsia="Lexend" w:cs="Lexend"/>
          <w:color w:val="EC4ED0"/>
        </w:rPr>
      </w:pPr>
      <w:r>
        <w:rPr>
          <w:rFonts w:eastAsia="Lexend" w:cs="Lexend" w:ascii="Lexend" w:hAnsi="Lexend"/>
          <w:color w:val="EC4ED0"/>
          <w:u w:val="single"/>
        </w:rPr>
        <w:t xml:space="preserve"> </w:t>
      </w:r>
      <w:r>
        <w:rPr>
          <w:rFonts w:eastAsia="Lexend" w:cs="Lexend" w:ascii="Lexend" w:hAnsi="Lexend"/>
          <w:color w:val="EC4ED0"/>
          <w:u w:val="single"/>
        </w:rPr>
        <w:t>Bogotá diversa e incluyente</w:t>
      </w:r>
    </w:p>
    <w:p>
      <w:pPr>
        <w:pStyle w:val="Normal"/>
        <w:pBdr/>
        <w:spacing w:lineRule="auto" w:line="367" w:before="203" w:after="0"/>
        <w:ind w:left="221" w:right="401" w:hanging="0"/>
        <w:jc w:val="both"/>
        <w:rPr>
          <w:rFonts w:ascii="Lexend Light" w:hAnsi="Lexend Light" w:eastAsia="Lexend Light" w:cs="Lexend Light"/>
        </w:rPr>
      </w:pPr>
      <w:r>
        <w:rPr>
          <w:rFonts w:eastAsia="Lexend Light" w:cs="Lexend Light" w:ascii="Lexend Light" w:hAnsi="Lexend Light"/>
        </w:rPr>
        <w:t>Proyectos con enfoque poblacional-diferencial encaminados a promover la inclusión social y el ejercicio de los derechos desde el arte, la cultura, el patrimonio o la creación. En esta línea pueden participar proyectos con énfasis y trabajo con los siguientes sectores poblacionales:</w:t>
      </w:r>
    </w:p>
    <w:p>
      <w:pPr>
        <w:pStyle w:val="Normal"/>
        <w:numPr>
          <w:ilvl w:val="0"/>
          <w:numId w:val="5"/>
        </w:numPr>
        <w:pBdr/>
        <w:tabs>
          <w:tab w:val="clear" w:pos="720"/>
          <w:tab w:val="left" w:pos="581" w:leader="none"/>
        </w:tabs>
        <w:spacing w:lineRule="auto" w:line="367" w:before="203" w:after="0"/>
        <w:ind w:left="581" w:right="407" w:hanging="360"/>
        <w:jc w:val="both"/>
        <w:rPr>
          <w:rFonts w:ascii="Helvetica Neue" w:hAnsi="Helvetica Neue" w:eastAsia="Helvetica Neue" w:cs="Helvetica Neue"/>
        </w:rPr>
      </w:pPr>
      <w:r>
        <w:rPr>
          <w:rFonts w:eastAsia="Lexend Light" w:cs="Lexend Light" w:ascii="Lexend Light" w:hAnsi="Lexend Light"/>
          <w:b/>
          <w:color w:val="EC4ED0"/>
        </w:rPr>
        <w:t>Pueblos étnicos</w:t>
      </w:r>
      <w:r>
        <w:rPr>
          <w:rFonts w:eastAsia="Lexend Light" w:cs="Lexend Light" w:ascii="Lexend Light" w:hAnsi="Lexend Light"/>
          <w:color w:val="EC4ED0"/>
        </w:rPr>
        <w:t>.</w:t>
      </w:r>
      <w:r>
        <w:rPr>
          <w:color w:val="EC4ED0"/>
        </w:rPr>
        <w:t xml:space="preserve"> </w:t>
      </w:r>
      <w:r>
        <w:rPr>
          <w:rFonts w:eastAsia="Lexend Light" w:cs="Lexend Light" w:ascii="Lexend Light" w:hAnsi="Lexend Light"/>
          <w:color w:val="000000"/>
        </w:rPr>
        <w:t>Incluye pueblos indígenas, comunidades negras, afrodescendientes, palenqueras, pueblo raizal y el pueblo Rrom-gitano.</w:t>
      </w:r>
    </w:p>
    <w:p>
      <w:pPr>
        <w:pStyle w:val="Normal"/>
        <w:numPr>
          <w:ilvl w:val="0"/>
          <w:numId w:val="5"/>
        </w:numPr>
        <w:pBdr/>
        <w:tabs>
          <w:tab w:val="clear" w:pos="720"/>
          <w:tab w:val="left" w:pos="581" w:leader="none"/>
        </w:tabs>
        <w:spacing w:lineRule="auto" w:line="367" w:before="202" w:after="0"/>
        <w:ind w:left="581" w:right="400" w:hanging="360"/>
        <w:jc w:val="both"/>
        <w:rPr>
          <w:rFonts w:ascii="Helvetica Neue" w:hAnsi="Helvetica Neue" w:eastAsia="Helvetica Neue" w:cs="Helvetica Neue"/>
        </w:rPr>
      </w:pPr>
      <w:r>
        <w:rPr>
          <w:rFonts w:eastAsia="Lexend Light" w:cs="Lexend Light" w:ascii="Lexend Light" w:hAnsi="Lexend Light"/>
          <w:b/>
          <w:color w:val="EC4ED0"/>
        </w:rPr>
        <w:t>Sectores sociales</w:t>
      </w:r>
      <w:r>
        <w:rPr>
          <w:color w:val="000000"/>
        </w:rPr>
        <w:t xml:space="preserve">. </w:t>
      </w:r>
      <w:r>
        <w:rPr>
          <w:rFonts w:eastAsia="Lexend Light" w:cs="Lexend Light" w:ascii="Lexend Light" w:hAnsi="Lexend Light"/>
          <w:color w:val="000000"/>
        </w:rPr>
        <w:t>Incluye artesanos, personas con discapacidad, personas habitantes de calle, sectores sociales LGBTIQ+, mujeres, comunidades rurales y campesinas, personas que ejercen actividades sexuales pagadas, personas privadas de la libertad, personas en proceso de reintegración, reincorporación o víctimas del conﬂicto armado interno, así como migrantes, retornados o refugiados.</w:t>
      </w:r>
    </w:p>
    <w:p>
      <w:pPr>
        <w:pStyle w:val="Normal"/>
        <w:numPr>
          <w:ilvl w:val="0"/>
          <w:numId w:val="5"/>
        </w:numPr>
        <w:pBdr/>
        <w:tabs>
          <w:tab w:val="clear" w:pos="720"/>
          <w:tab w:val="left" w:pos="581" w:leader="none"/>
        </w:tabs>
        <w:spacing w:lineRule="auto" w:line="367" w:before="204" w:after="0"/>
        <w:ind w:left="581" w:right="404" w:hanging="360"/>
        <w:jc w:val="both"/>
        <w:rPr>
          <w:rFonts w:ascii="Helvetica Neue" w:hAnsi="Helvetica Neue" w:eastAsia="Helvetica Neue" w:cs="Helvetica Neue"/>
        </w:rPr>
      </w:pPr>
      <w:r>
        <w:rPr>
          <w:rFonts w:eastAsia="Lexend Light" w:cs="Lexend Light" w:ascii="Lexend Light" w:hAnsi="Lexend Light"/>
          <w:b/>
          <w:color w:val="EC4ED0"/>
        </w:rPr>
        <w:t>Grupos etarios o del ciclo vital</w:t>
      </w:r>
      <w:r>
        <w:rPr>
          <w:rFonts w:eastAsia="Lexend Light" w:cs="Lexend Light" w:ascii="Lexend Light" w:hAnsi="Lexend Light"/>
          <w:color w:val="EC4ED0"/>
        </w:rPr>
        <w:t>.</w:t>
      </w:r>
      <w:r>
        <w:rPr>
          <w:color w:val="EC4ED0"/>
        </w:rPr>
        <w:t xml:space="preserve"> </w:t>
      </w:r>
      <w:r>
        <w:rPr>
          <w:rFonts w:eastAsia="Lexend Light" w:cs="Lexend Light" w:ascii="Lexend Light" w:hAnsi="Lexend Light"/>
          <w:color w:val="000000"/>
        </w:rPr>
        <w:t>Incluye infancia, adolescencia, juventud, adultez y personas mayores.</w:t>
      </w:r>
    </w:p>
    <w:p>
      <w:pPr>
        <w:pStyle w:val="Normal"/>
        <w:pBdr/>
        <w:spacing w:lineRule="auto" w:line="367" w:before="202" w:after="0"/>
        <w:ind w:left="221" w:right="410" w:hanging="0"/>
        <w:jc w:val="both"/>
        <w:rPr>
          <w:rFonts w:ascii="Lexend Light" w:hAnsi="Lexend Light" w:eastAsia="Lexend Light" w:cs="Lexend Light"/>
        </w:rPr>
      </w:pPr>
      <w:r>
        <w:rPr>
          <w:rFonts w:eastAsia="Lexend Light" w:cs="Lexend Light" w:ascii="Lexend Light" w:hAnsi="Lexend Light"/>
        </w:rPr>
        <w:t xml:space="preserve">Se espera que los proyectos participantes motiven en sus beneficiarios (asistentes, participantes y comunidades relacionadas) reflexiones acerca de los estereotipos e imaginarios que promueven la discriminación y que inciden en la generación de situaciones de violencia y segregación. Los proyectos presentados deberán expresar de manera clara su aporte a la cohesión cultural y a la disminución de barreras y brechas socioculturales o simbólicas a nivel barrial o veredal en la localidad o localidades a intervenir. </w:t>
      </w:r>
    </w:p>
    <w:p>
      <w:pPr>
        <w:pStyle w:val="Normal"/>
        <w:numPr>
          <w:ilvl w:val="2"/>
          <w:numId w:val="7"/>
        </w:numPr>
        <w:pBdr/>
        <w:tabs>
          <w:tab w:val="clear" w:pos="720"/>
          <w:tab w:val="left" w:pos="940" w:leader="none"/>
          <w:tab w:val="left" w:pos="941" w:leader="none"/>
        </w:tabs>
        <w:spacing w:before="241" w:after="0"/>
        <w:ind w:left="941" w:hanging="360"/>
        <w:jc w:val="both"/>
        <w:rPr>
          <w:rFonts w:ascii="Lexend" w:hAnsi="Lexend" w:eastAsia="Lexend" w:cs="Lexend"/>
          <w:color w:val="EC4ED0"/>
        </w:rPr>
      </w:pPr>
      <w:r>
        <w:rPr>
          <w:rFonts w:eastAsia="Lexend" w:cs="Lexend" w:ascii="Lexend" w:hAnsi="Lexend"/>
          <w:color w:val="EC4ED0"/>
          <w:u w:val="single"/>
        </w:rPr>
        <w:t xml:space="preserve">Comunidades de bien-estar: cultura del cuidado y la salud </w:t>
      </w:r>
    </w:p>
    <w:p>
      <w:pPr>
        <w:pStyle w:val="Normal"/>
        <w:tabs>
          <w:tab w:val="clear" w:pos="720"/>
          <w:tab w:val="left" w:pos="940" w:leader="none"/>
          <w:tab w:val="left" w:pos="941" w:leader="none"/>
        </w:tabs>
        <w:spacing w:lineRule="auto" w:line="360" w:before="241" w:after="0"/>
        <w:ind w:right="-165" w:hanging="15"/>
        <w:jc w:val="both"/>
        <w:rPr>
          <w:rFonts w:ascii="Lexend Light" w:hAnsi="Lexend Light" w:eastAsia="Lexend Light" w:cs="Lexend Light"/>
        </w:rPr>
      </w:pPr>
      <w:r>
        <w:rPr>
          <w:rFonts w:eastAsia="Lexend Light" w:cs="Lexend Light" w:ascii="Lexend Light" w:hAnsi="Lexend Light"/>
        </w:rPr>
        <w:t xml:space="preserve">Proyectos encaminados a promover actividades artísticas, culturales, patrimoniales o creativas que contribuyan al mejoramiento de la calidad de vida, de la salud mental y física y al buen vivir de las y los habitantes a nivel barrial o veredal, de la localidad o localidades a intervenir. </w:t>
      </w:r>
    </w:p>
    <w:p>
      <w:pPr>
        <w:pStyle w:val="Normal"/>
        <w:tabs>
          <w:tab w:val="clear" w:pos="720"/>
          <w:tab w:val="left" w:pos="354" w:leader="none"/>
          <w:tab w:val="left" w:pos="384" w:leader="none"/>
        </w:tabs>
        <w:spacing w:lineRule="auto" w:line="360" w:before="241" w:after="0"/>
        <w:ind w:right="-165" w:hanging="15"/>
        <w:jc w:val="both"/>
        <w:rPr>
          <w:rFonts w:ascii="Lexend Light" w:hAnsi="Lexend Light" w:eastAsia="Lexend Light" w:cs="Lexend Light"/>
        </w:rPr>
      </w:pPr>
      <w:r>
        <w:rPr>
          <w:rFonts w:eastAsia="Lexend Light" w:cs="Lexend Light" w:ascii="Lexend Light" w:hAnsi="Lexend Light"/>
        </w:rPr>
        <w:t>En esta línea se podrán presentar proyectos relacionados con: bienestar y hábitos saludables en espacios públicos, arte terapia con distintos enfoques y, terapias expresivas para sanar vínculos y lograr superación de traumas.</w:t>
      </w:r>
    </w:p>
    <w:p>
      <w:pPr>
        <w:pStyle w:val="Normal"/>
        <w:tabs>
          <w:tab w:val="clear" w:pos="720"/>
          <w:tab w:val="left" w:pos="354" w:leader="none"/>
          <w:tab w:val="left" w:pos="384" w:leader="none"/>
        </w:tabs>
        <w:spacing w:lineRule="auto" w:line="360" w:before="241" w:after="0"/>
        <w:ind w:right="-165" w:hanging="15"/>
        <w:jc w:val="both"/>
        <w:rPr>
          <w:rFonts w:ascii="Lexend Light" w:hAnsi="Lexend Light" w:eastAsia="Lexend Light" w:cs="Lexend Light"/>
        </w:rPr>
      </w:pPr>
      <w:r>
        <w:rPr>
          <w:rFonts w:eastAsia="Lexend Light" w:cs="Lexend Light" w:ascii="Lexend Light" w:hAnsi="Lexend Light"/>
        </w:rPr>
        <w:t>Se espera que las acciones de los proyectos presentados incentiven el bienestar de las comunidades beneficiarias, aprovechando distintos espacios públicos y comunitarios. Haciendo uso de prácticas terapéuticas novedosas, bajo el enfoque de acción sin daño y promoviendo las prácticas artísticas, culturales, patrimoniales y creativas como parte de su cotidianidad, en pro de la construcción de una ciudad cuidadora, consciente y con capacidades para mejorar la calidad de vida de sus habitantes. Adicionalmente, los proyectos deberán expresar de manera clara su aporte a la mejora: en la vitalidad, en los hábitos de vida saludables, en el cuidado de sí y de los otros, en la capacidad de resiliencia y en la calidad de vida individual y colectiva.</w:t>
      </w:r>
    </w:p>
    <w:p>
      <w:pPr>
        <w:pStyle w:val="Normal"/>
        <w:tabs>
          <w:tab w:val="clear" w:pos="720"/>
          <w:tab w:val="left" w:pos="354" w:leader="none"/>
          <w:tab w:val="left" w:pos="384" w:leader="none"/>
        </w:tabs>
        <w:spacing w:lineRule="auto" w:line="360" w:before="241" w:after="0"/>
        <w:ind w:right="-165" w:hanging="15"/>
        <w:jc w:val="both"/>
        <w:rPr>
          <w:rFonts w:ascii="Lexend Light" w:hAnsi="Lexend Light" w:eastAsia="Lexend Light" w:cs="Lexend Light"/>
        </w:rPr>
      </w:pPr>
      <w:r>
        <w:rPr>
          <w:rFonts w:eastAsia="Lexend Light" w:cs="Lexend Light" w:ascii="Lexend Light" w:hAnsi="Lexend Light"/>
        </w:rPr>
      </w:r>
    </w:p>
    <w:p>
      <w:pPr>
        <w:pStyle w:val="Normal"/>
        <w:tabs>
          <w:tab w:val="clear" w:pos="720"/>
          <w:tab w:val="left" w:pos="940" w:leader="none"/>
          <w:tab w:val="left" w:pos="941" w:leader="none"/>
        </w:tabs>
        <w:spacing w:lineRule="auto" w:line="360" w:before="241" w:after="0"/>
        <w:ind w:left="283" w:right="379" w:hanging="0"/>
        <w:jc w:val="both"/>
        <w:rPr>
          <w:rFonts w:ascii="Lexend Light" w:hAnsi="Lexend Light" w:eastAsia="Lexend Light" w:cs="Lexend Light"/>
          <w:sz w:val="20"/>
          <w:szCs w:val="20"/>
        </w:rPr>
      </w:pPr>
      <w:r>
        <w:rPr>
          <w:rFonts w:eastAsia="Lexend" w:cs="Lexend" w:ascii="Lexend" w:hAnsi="Lexend"/>
          <w:color w:val="EC4ED0"/>
          <w:u w:val="single"/>
        </w:rPr>
        <w:t>7. Transformaciones culturales para la convivencia pacífica y sostenible</w:t>
      </w:r>
    </w:p>
    <w:p>
      <w:pPr>
        <w:pStyle w:val="Normal"/>
        <w:spacing w:lineRule="auto" w:line="360" w:before="240" w:after="0"/>
        <w:ind w:right="-225" w:hanging="0"/>
        <w:jc w:val="both"/>
        <w:rPr>
          <w:rFonts w:ascii="Lexend Light" w:hAnsi="Lexend Light" w:eastAsia="Lexend Light" w:cs="Lexend Light"/>
        </w:rPr>
      </w:pPr>
      <w:r>
        <w:rPr>
          <w:rFonts w:eastAsia="Lexend Light" w:cs="Lexend Light" w:ascii="Lexend Light" w:hAnsi="Lexend Light"/>
        </w:rPr>
        <w:t>Proyectos encaminados a abordar percepciones, actitudes y comportamientos que afectan negativamente las relaciones entre las y los ciudadanos y de estos con su entorno, promoviendo la generación de transformaciones culturales en los imaginarios y prácticas de los y las habitantes, a nivel barrial o veredal, en la localidad o localidades a intervenir</w:t>
      </w:r>
    </w:p>
    <w:p>
      <w:pPr>
        <w:pStyle w:val="Normal"/>
        <w:spacing w:lineRule="auto" w:line="360" w:before="240" w:after="0"/>
        <w:ind w:right="-225" w:hanging="0"/>
        <w:jc w:val="both"/>
        <w:rPr>
          <w:rFonts w:ascii="Lexend Light" w:hAnsi="Lexend Light" w:eastAsia="Lexend Light" w:cs="Lexend Light"/>
        </w:rPr>
      </w:pPr>
      <w:r>
        <w:rPr>
          <w:rFonts w:eastAsia="Lexend Light" w:cs="Lexend Light" w:ascii="Lexend Light" w:hAnsi="Lexend Light"/>
        </w:rPr>
        <w:t>En esta línea se podrán presentar proyectos que aporten al desarrollo sostenible y al fortalecimiento de las comunidades, entre otros, mediante: la apropiación y disfrute del espacio público, la construcción de conciencia ambiental, la recuperación y el fortalecimiento de la confianza y el tejido social, la construcción y apropiación de una cultura de paz para la convivencia y, el desarrollo y fortalecimiento del sentido de identidad, pertenencia y orgullo por la ciudad.</w:t>
      </w:r>
    </w:p>
    <w:p>
      <w:pPr>
        <w:pStyle w:val="Normal"/>
        <w:spacing w:lineRule="auto" w:line="360" w:before="240" w:after="0"/>
        <w:ind w:right="-225" w:hanging="0"/>
        <w:jc w:val="both"/>
        <w:rPr>
          <w:rFonts w:ascii="Lexend Light" w:hAnsi="Lexend Light" w:eastAsia="Lexend Light" w:cs="Lexend Light"/>
        </w:rPr>
      </w:pPr>
      <w:r>
        <w:rPr>
          <w:rFonts w:eastAsia="Lexend Light" w:cs="Lexend Light" w:ascii="Lexend Light" w:hAnsi="Lexend Light"/>
        </w:rPr>
        <w:t>Los proyectos presentados deberán expresar de manera clara su aporte a la transformación cultural abordada y sus estrategias para vincular, de manera activa, a la ciudadanía como sujetos de las iniciativas. Se espera además, que las acciones del proyecto presentado promuevan actividades artísticas, culturales, patrimoniales y creativas como un medio para el ejercicio de los derechos culturales y el desarrollo humano, de las comunidades residentes en los barrios o veredas que conforman la localidad o localidades a intervenir.</w:t>
      </w:r>
    </w:p>
    <w:p>
      <w:pPr>
        <w:pStyle w:val="Normal"/>
        <w:spacing w:lineRule="auto" w:line="360" w:before="240" w:after="0"/>
        <w:ind w:left="283" w:right="379" w:hanging="0"/>
        <w:jc w:val="both"/>
        <w:rPr>
          <w:rFonts w:ascii="Lexend" w:hAnsi="Lexend" w:eastAsia="Lexend" w:cs="Lexend"/>
          <w:color w:val="EC4ED0"/>
        </w:rPr>
      </w:pPr>
      <w:r>
        <w:rPr>
          <w:rFonts w:eastAsia="Lexend" w:cs="Lexend" w:ascii="Lexend" w:hAnsi="Lexend"/>
          <w:color w:val="EC4ED0"/>
          <w:u w:val="single"/>
        </w:rPr>
        <w:t>8. Convergencia Digital: Cultura, tecnología y comunidad</w:t>
      </w:r>
    </w:p>
    <w:p>
      <w:pPr>
        <w:pStyle w:val="Normal"/>
        <w:pBdr/>
        <w:spacing w:lineRule="auto" w:line="367" w:before="99" w:after="0"/>
        <w:ind w:left="30" w:right="-240" w:hanging="0"/>
        <w:jc w:val="both"/>
        <w:rPr>
          <w:rFonts w:ascii="Lexend Light" w:hAnsi="Lexend Light" w:eastAsia="Lexend Light" w:cs="Lexend Light"/>
          <w:sz w:val="20"/>
          <w:szCs w:val="20"/>
        </w:rPr>
      </w:pPr>
      <w:r>
        <w:rPr>
          <w:rFonts w:eastAsia="Lexend Light" w:cs="Lexend Light" w:ascii="Lexend Light" w:hAnsi="Lexend Light"/>
        </w:rPr>
        <w:t xml:space="preserve">Proyectos encaminados a integrar las prácticas artísticas, culturales, patrimoniales o creativas a la tecnología y la gestión del conocimiento, en la vida cotidiana a nivel barrial o veredal, de la localidad o localidades a intervenir. </w:t>
      </w:r>
    </w:p>
    <w:p>
      <w:pPr>
        <w:pStyle w:val="Normal"/>
        <w:pBdr/>
        <w:spacing w:lineRule="auto" w:line="367" w:before="99" w:after="0"/>
        <w:ind w:left="30" w:right="-240" w:hanging="0"/>
        <w:jc w:val="both"/>
        <w:rPr>
          <w:rFonts w:ascii="Lexend Light" w:hAnsi="Lexend Light" w:eastAsia="Lexend Light" w:cs="Lexend Light"/>
        </w:rPr>
      </w:pPr>
      <w:r>
        <w:rPr>
          <w:rFonts w:eastAsia="Lexend Light" w:cs="Lexend Light" w:ascii="Lexend Light" w:hAnsi="Lexend Light"/>
        </w:rPr>
        <w:t>En esta línea se podrán presentar proyectos para la generación, sistematización, análisis, preservación, transmisión, difusión o circulación de contenidos en formatos sonoros, audiovisuales, literarios o editoriales, digitales-transmedia o multiplataformas, nuevos medios y tecnologías, por medio de videojuegos, tecnologías inmersivas y emergentes, podcasts, webcasts, entre otros.</w:t>
      </w:r>
    </w:p>
    <w:p>
      <w:pPr>
        <w:pStyle w:val="Normal"/>
        <w:spacing w:lineRule="auto" w:line="367" w:before="99" w:after="0"/>
        <w:ind w:left="30" w:right="-240" w:hanging="0"/>
        <w:jc w:val="both"/>
        <w:rPr>
          <w:rFonts w:ascii="Lexend Light" w:hAnsi="Lexend Light" w:eastAsia="Lexend Light" w:cs="Lexend Light"/>
        </w:rPr>
      </w:pPr>
      <w:r>
        <w:rPr>
          <w:rFonts w:eastAsia="Lexend Light" w:cs="Lexend Light" w:ascii="Lexend Light" w:hAnsi="Lexend Light"/>
        </w:rPr>
        <w:t>Los proyectos presentados deberán incorporar en su desarrollo, estrategias para la reducción de las brechas digitales, y para la construcción de memoria colectiva y el tejido social y, aportar al fortalecimiento del ecosistema cultural de la localidad o localidades a intervenir.</w:t>
      </w:r>
    </w:p>
    <w:p>
      <w:pPr>
        <w:pStyle w:val="Normal"/>
        <w:pBdr/>
        <w:spacing w:lineRule="auto" w:line="367" w:before="99" w:after="0"/>
        <w:ind w:left="221" w:right="404" w:hanging="0"/>
        <w:jc w:val="both"/>
        <w:rPr/>
      </w:pPr>
      <w:r>
        <w:rPr>
          <w:rFonts w:eastAsia="Lexend Light" w:cs="Lexend Light" w:ascii="Lexend Light" w:hAnsi="Lexend Light"/>
          <w:color w:val="000000"/>
        </w:rPr>
        <w:t xml:space="preserve"> </w:t>
      </w:r>
      <w:r>
        <w:rPr>
          <w:color w:val="EC4ED0"/>
        </w:rPr>
        <w:t>TENGA EN CUENTA ESTAS RECOMENDACIONES</w:t>
      </w:r>
    </w:p>
    <w:p>
      <w:pPr>
        <w:pStyle w:val="Normal"/>
        <w:pBdr/>
        <w:spacing w:before="1" w:after="0"/>
        <w:rPr>
          <w:rFonts w:ascii="Tahoma" w:hAnsi="Tahoma" w:eastAsia="Tahoma" w:cs="Tahoma"/>
          <w:b/>
          <w:b/>
          <w:color w:val="000000"/>
          <w:sz w:val="33"/>
          <w:szCs w:val="33"/>
        </w:rPr>
      </w:pPr>
      <w:r>
        <w:rPr>
          <w:rFonts w:eastAsia="Tahoma" w:cs="Tahoma" w:ascii="Tahoma" w:hAnsi="Tahoma"/>
          <w:b/>
          <w:color w:val="000000"/>
          <w:sz w:val="33"/>
          <w:szCs w:val="33"/>
        </w:rPr>
      </w:r>
    </w:p>
    <w:p>
      <w:pPr>
        <w:pStyle w:val="Normal"/>
        <w:numPr>
          <w:ilvl w:val="0"/>
          <w:numId w:val="5"/>
        </w:numPr>
        <w:pBdr/>
        <w:tabs>
          <w:tab w:val="clear" w:pos="720"/>
          <w:tab w:val="left" w:pos="581" w:leader="none"/>
        </w:tabs>
        <w:spacing w:lineRule="auto" w:line="367"/>
        <w:ind w:left="581" w:right="399" w:hanging="360"/>
        <w:jc w:val="both"/>
        <w:rPr>
          <w:rFonts w:ascii="Lexend Light" w:hAnsi="Lexend Light" w:eastAsia="Lexend Light" w:cs="Lexend Light"/>
        </w:rPr>
      </w:pPr>
      <w:r>
        <w:rPr>
          <w:rFonts w:eastAsia="Lexend Light" w:cs="Lexend Light" w:ascii="Lexend Light" w:hAnsi="Lexend Light"/>
          <w:color w:val="000000"/>
        </w:rPr>
        <w:t>A cualquiera de las líneas de participación se podrán presentar proyectos que sean el resultado de alianzas estratégicas, entendidas como la asociación entre mínimo tres (3) entidades privadas sin ánimo de lucro, que se unen para proponer un proyecto que responde al interés común del sector que representan. Una de las entidades deberá ser la que presente el proyecto y la que debe acreditar la documentación administrativa y técnica solicitada.</w:t>
      </w:r>
    </w:p>
    <w:p>
      <w:pPr>
        <w:pStyle w:val="Normal"/>
        <w:pBdr/>
        <w:tabs>
          <w:tab w:val="clear" w:pos="720"/>
          <w:tab w:val="left" w:pos="581" w:leader="none"/>
        </w:tabs>
        <w:spacing w:lineRule="auto" w:line="367"/>
        <w:ind w:left="581" w:right="399" w:hanging="0"/>
        <w:jc w:val="both"/>
        <w:rPr>
          <w:rFonts w:ascii="Lexend Light" w:hAnsi="Lexend Light" w:eastAsia="Lexend Light" w:cs="Lexend Light"/>
        </w:rPr>
      </w:pPr>
      <w:r>
        <w:rPr>
          <w:rFonts w:eastAsia="Lexend Light" w:cs="Lexend Light" w:ascii="Lexend Light" w:hAnsi="Lexend Light"/>
        </w:rPr>
      </w:r>
    </w:p>
    <w:p>
      <w:pPr>
        <w:pStyle w:val="Normal"/>
        <w:numPr>
          <w:ilvl w:val="0"/>
          <w:numId w:val="5"/>
        </w:numPr>
        <w:pBdr/>
        <w:tabs>
          <w:tab w:val="clear" w:pos="720"/>
          <w:tab w:val="left" w:pos="581" w:leader="none"/>
        </w:tabs>
        <w:spacing w:lineRule="auto" w:line="367"/>
        <w:ind w:left="581" w:right="399" w:hanging="360"/>
        <w:jc w:val="both"/>
        <w:rPr>
          <w:rFonts w:ascii="Lexend Light" w:hAnsi="Lexend Light" w:eastAsia="Lexend Light" w:cs="Lexend Light"/>
        </w:rPr>
      </w:pPr>
      <w:r>
        <w:rPr>
          <w:rFonts w:eastAsia="Lexend Light" w:cs="Lexend Light" w:ascii="Lexend Light" w:hAnsi="Lexend Light"/>
          <w:color w:val="000000"/>
        </w:rPr>
        <w:t>Las entidades participantes sólo podrán presentar un (1) proyecto en esta convocatoria. Por lo tanto, no podrán presentarse a más de una (1) línea de participación. Se exceptúa de esta limitación a las entidades que presenten un proyecto que sea resultado de una alianza estratégica, caso en el cual la entidad podrá presentar dos (2) proyectos a la convocatoria en diferentes líneas: el de la alianza y el propio.</w:t>
      </w:r>
    </w:p>
    <w:p>
      <w:pPr>
        <w:pStyle w:val="Ttulo2"/>
        <w:numPr>
          <w:ilvl w:val="1"/>
          <w:numId w:val="7"/>
        </w:numPr>
        <w:tabs>
          <w:tab w:val="clear" w:pos="720"/>
          <w:tab w:val="left" w:pos="1091" w:leader="none"/>
        </w:tabs>
        <w:spacing w:lineRule="auto" w:line="247" w:before="162" w:after="0"/>
        <w:ind w:left="941" w:right="399" w:hanging="720"/>
        <w:jc w:val="both"/>
        <w:rPr>
          <w:rFonts w:ascii="Lexend Light" w:hAnsi="Lexend Light" w:eastAsia="Lexend Light" w:cs="Lexend Light"/>
          <w:color w:val="F150D4"/>
        </w:rPr>
      </w:pPr>
      <w:r>
        <w:rPr>
          <w:rFonts w:eastAsia="Lexend Light" w:cs="Lexend Light" w:ascii="Lexend Light" w:hAnsi="Lexend Light"/>
          <w:color w:val="2E5395"/>
        </w:rPr>
        <w:t>¿Cuál es el porcentaje máximo posible de recursos a asignar a un proyecto elegible en la modalidad de proyectos locales e interlocales?</w:t>
      </w:r>
    </w:p>
    <w:p>
      <w:pPr>
        <w:pStyle w:val="Normal"/>
        <w:pBdr/>
        <w:spacing w:lineRule="auto" w:line="367" w:before="195" w:after="0"/>
        <w:ind w:left="221" w:right="398" w:hanging="0"/>
        <w:jc w:val="both"/>
        <w:rPr>
          <w:rFonts w:ascii="Lexend Light" w:hAnsi="Lexend Light" w:eastAsia="Lexend Light" w:cs="Lexend Light"/>
          <w:color w:val="000000"/>
        </w:rPr>
      </w:pPr>
      <w:bookmarkStart w:id="1" w:name="_heading=h.1fob9te"/>
      <w:bookmarkEnd w:id="1"/>
      <w:r>
        <w:rPr>
          <w:rFonts w:eastAsia="Lexend Light" w:cs="Lexend Light" w:ascii="Lexend Light" w:hAnsi="Lexend Light"/>
          <w:color w:val="000000"/>
        </w:rPr>
        <w:t xml:space="preserve">La SCRD </w:t>
      </w:r>
      <w:r>
        <w:rPr>
          <w:rFonts w:eastAsia="Lexend Light" w:cs="Lexend Light" w:ascii="Lexend Light" w:hAnsi="Lexend Light"/>
        </w:rPr>
        <w:t>o</w:t>
      </w:r>
      <w:r>
        <w:rPr>
          <w:rFonts w:eastAsia="Lexend Light" w:cs="Lexend Light" w:ascii="Lexend Light" w:hAnsi="Lexend Light"/>
          <w:color w:val="000000"/>
        </w:rPr>
        <w:t xml:space="preserve"> sus entidades adscritas podrán apoyar hasta el 70% del valor total de cada uno de los proyectos elegibles a los cuales se asignen recursos. El porcentaje restante, que mínimo </w:t>
      </w:r>
      <w:r>
        <w:rPr>
          <w:rFonts w:eastAsia="Lexend Light" w:cs="Lexend Light" w:ascii="Lexend Light" w:hAnsi="Lexend Light"/>
        </w:rPr>
        <w:t>podrá</w:t>
      </w:r>
      <w:r>
        <w:rPr>
          <w:rFonts w:eastAsia="Lexend Light" w:cs="Lexend Light" w:ascii="Lexend Light" w:hAnsi="Lexend Light"/>
          <w:color w:val="000000"/>
        </w:rPr>
        <w:t xml:space="preserve"> ser el 30%</w:t>
      </w:r>
      <w:r>
        <w:rPr>
          <w:rFonts w:eastAsia="Lexend Light" w:cs="Lexend Light" w:ascii="Lexend Light" w:hAnsi="Lexend Light"/>
        </w:rPr>
        <w:t xml:space="preserve">, </w:t>
      </w:r>
      <w:r>
        <w:rPr>
          <w:rFonts w:eastAsia="Lexend Light" w:cs="Lexend Light" w:ascii="Lexend Light" w:hAnsi="Lexend Light"/>
          <w:color w:val="000000"/>
        </w:rPr>
        <w:t>deberá ser ﬁnanciado por la entidad participante con recursos propios o con otras fuentes de ﬁnanciación.</w:t>
      </w:r>
    </w:p>
    <w:p>
      <w:pPr>
        <w:pStyle w:val="Normal"/>
        <w:pBdr/>
        <w:spacing w:lineRule="auto" w:line="367" w:before="195" w:after="0"/>
        <w:ind w:left="221" w:right="398" w:hanging="0"/>
        <w:jc w:val="both"/>
        <w:rPr>
          <w:rFonts w:ascii="Lexend Light" w:hAnsi="Lexend Light" w:eastAsia="Lexend Light" w:cs="Lexend Light"/>
        </w:rPr>
      </w:pPr>
      <w:r>
        <w:rPr>
          <w:rFonts w:eastAsia="Lexend Light" w:cs="Lexend Light" w:ascii="Lexend Light" w:hAnsi="Lexend Light"/>
        </w:rPr>
      </w:r>
      <w:bookmarkStart w:id="2" w:name="_heading=h.d8zb7yovnstc"/>
      <w:bookmarkStart w:id="3" w:name="_heading=h.d8zb7yovnstc"/>
      <w:bookmarkEnd w:id="3"/>
    </w:p>
    <w:p>
      <w:pPr>
        <w:pStyle w:val="Normal"/>
        <w:pBdr/>
        <w:spacing w:lineRule="auto" w:line="367" w:before="195" w:after="0"/>
        <w:ind w:left="221" w:right="398" w:hanging="0"/>
        <w:jc w:val="both"/>
        <w:rPr>
          <w:rFonts w:ascii="Lexend Light" w:hAnsi="Lexend Light" w:eastAsia="Lexend Light" w:cs="Lexend Light"/>
        </w:rPr>
      </w:pPr>
      <w:r>
        <w:rPr>
          <w:rFonts w:eastAsia="Lexend Light" w:cs="Lexend Light" w:ascii="Lexend Light" w:hAnsi="Lexend Light"/>
        </w:rPr>
      </w:r>
      <w:bookmarkStart w:id="4" w:name="_heading=h.cy2kkfmhxjrf"/>
      <w:bookmarkStart w:id="5" w:name="_heading=h.cy2kkfmhxjrf"/>
      <w:bookmarkEnd w:id="5"/>
    </w:p>
    <w:p>
      <w:pPr>
        <w:pStyle w:val="Normal"/>
        <w:pBdr/>
        <w:spacing w:lineRule="auto" w:line="367" w:before="195" w:after="0"/>
        <w:ind w:left="221" w:right="398" w:hanging="0"/>
        <w:jc w:val="both"/>
        <w:rPr>
          <w:rFonts w:ascii="Lexend Light" w:hAnsi="Lexend Light" w:eastAsia="Lexend Light" w:cs="Lexend Light"/>
        </w:rPr>
      </w:pPr>
      <w:r>
        <w:rPr>
          <w:rFonts w:eastAsia="Lexend Light" w:cs="Lexend Light" w:ascii="Lexend Light" w:hAnsi="Lexend Light"/>
        </w:rPr>
      </w:r>
      <w:bookmarkStart w:id="6" w:name="_heading=h.3qrilje04fzo"/>
      <w:bookmarkStart w:id="7" w:name="_heading=h.3qrilje04fzo"/>
      <w:bookmarkEnd w:id="7"/>
    </w:p>
    <w:p>
      <w:pPr>
        <w:pStyle w:val="Normal"/>
        <w:pBdr/>
        <w:spacing w:lineRule="auto" w:line="367" w:before="195" w:after="0"/>
        <w:ind w:left="221" w:right="398" w:hanging="0"/>
        <w:jc w:val="both"/>
        <w:rPr>
          <w:rFonts w:ascii="Lexend Light" w:hAnsi="Lexend Light" w:eastAsia="Lexend Light" w:cs="Lexend Light"/>
        </w:rPr>
      </w:pPr>
      <w:r>
        <w:rPr>
          <w:rFonts w:eastAsia="Lexend Light" w:cs="Lexend Light" w:ascii="Lexend Light" w:hAnsi="Lexend Light"/>
        </w:rPr>
      </w:r>
      <w:bookmarkStart w:id="8" w:name="_heading=h.a3bd2xrdg8yu"/>
      <w:bookmarkStart w:id="9" w:name="_heading=h.a3bd2xrdg8yu"/>
      <w:bookmarkEnd w:id="9"/>
    </w:p>
    <w:p>
      <w:pPr>
        <w:pStyle w:val="Normal"/>
        <w:numPr>
          <w:ilvl w:val="1"/>
          <w:numId w:val="7"/>
        </w:numPr>
        <w:pBdr/>
        <w:tabs>
          <w:tab w:val="clear" w:pos="720"/>
          <w:tab w:val="left" w:pos="941" w:leader="none"/>
        </w:tabs>
        <w:spacing w:lineRule="auto" w:line="247" w:before="164" w:after="0"/>
        <w:ind w:left="941" w:right="404" w:hanging="720"/>
        <w:jc w:val="both"/>
        <w:rPr>
          <w:rFonts w:ascii="Lexend Light" w:hAnsi="Lexend Light" w:eastAsia="Lexend Light" w:cs="Lexend Light"/>
          <w:b/>
          <w:b/>
          <w:color w:val="F150D4"/>
          <w:sz w:val="28"/>
          <w:szCs w:val="28"/>
        </w:rPr>
      </w:pPr>
      <w:r>
        <w:rPr>
          <w:rFonts w:eastAsia="Lexend Light" w:cs="Lexend Light" w:ascii="Lexend Light" w:hAnsi="Lexend Light"/>
          <w:b/>
          <w:color w:val="2E5395"/>
          <w:sz w:val="28"/>
          <w:szCs w:val="28"/>
        </w:rPr>
        <w:t>¿Cuáles son las fases de una convocatoria del PDAC – Modalidad proyectos locales e interlocales?</w:t>
      </w:r>
    </w:p>
    <w:p>
      <w:pPr>
        <w:sectPr>
          <w:headerReference w:type="default" r:id="rId10"/>
          <w:footerReference w:type="default" r:id="rId11"/>
          <w:type w:val="nextPage"/>
          <w:pgSz w:w="12240" w:h="15840"/>
          <w:pgMar w:left="1480" w:right="1300" w:header="30" w:top="1500" w:footer="1701" w:bottom="1980" w:gutter="0"/>
          <w:pgNumType w:fmt="decimal"/>
          <w:formProt w:val="false"/>
          <w:textDirection w:val="lrTb"/>
          <w:docGrid w:type="default" w:linePitch="100" w:charSpace="4096"/>
        </w:sectPr>
        <w:pStyle w:val="Normal"/>
        <w:pBdr/>
        <w:rPr>
          <w:rFonts w:ascii="Tahoma" w:hAnsi="Tahoma" w:eastAsia="Tahoma" w:cs="Tahoma"/>
          <w:b/>
          <w:b/>
          <w:color w:val="000000"/>
          <w:sz w:val="20"/>
          <w:szCs w:val="20"/>
        </w:rPr>
      </w:pPr>
      <w:r>
        <w:rPr>
          <w:rFonts w:eastAsia="Tahoma" w:cs="Tahoma" w:ascii="Tahoma" w:hAnsi="Tahoma"/>
          <w:b/>
          <w:color w:val="000000"/>
          <w:sz w:val="20"/>
          <w:szCs w:val="20"/>
        </w:rPr>
      </w:r>
    </w:p>
    <w:p>
      <w:pPr>
        <w:pStyle w:val="Normal"/>
        <w:pBdr/>
        <w:rPr>
          <w:rFonts w:ascii="Tahoma" w:hAnsi="Tahoma" w:eastAsia="Tahoma" w:cs="Tahoma"/>
          <w:b/>
          <w:b/>
          <w:color w:val="000000"/>
          <w:sz w:val="20"/>
          <w:szCs w:val="20"/>
        </w:rPr>
      </w:pPr>
      <w:r>
        <w:rPr>
          <w:rFonts w:eastAsia="Tahoma" w:cs="Tahoma" w:ascii="Tahoma" w:hAnsi="Tahoma"/>
          <w:b/>
          <w:color w:val="000000"/>
          <w:sz w:val="20"/>
          <w:szCs w:val="20"/>
        </w:rPr>
        <mc:AlternateContent>
          <mc:Choice Requires="wps">
            <w:drawing>
              <wp:anchor behindDoc="1" distT="0" distB="0" distL="0" distR="0" simplePos="0" locked="0" layoutInCell="1" allowOverlap="1" relativeHeight="16" wp14:anchorId="4133F28D">
                <wp:simplePos x="0" y="0"/>
                <wp:positionH relativeFrom="page">
                  <wp:posOffset>4961255</wp:posOffset>
                </wp:positionH>
                <wp:positionV relativeFrom="page">
                  <wp:posOffset>7216775</wp:posOffset>
                </wp:positionV>
                <wp:extent cx="1715135" cy="1086485"/>
                <wp:effectExtent l="0" t="0" r="0" b="0"/>
                <wp:wrapNone/>
                <wp:docPr id="9" name="Forma libre: forma 26"/>
                <a:graphic xmlns:a="http://schemas.openxmlformats.org/drawingml/2006/main">
                  <a:graphicData uri="http://schemas.microsoft.com/office/word/2010/wordprocessingShape">
                    <wps:wsp>
                      <wps:cNvSpPr/>
                      <wps:spPr>
                        <a:xfrm>
                          <a:off x="0" y="0"/>
                          <a:ext cx="1714680" cy="1085760"/>
                        </a:xfrm>
                        <a:custGeom>
                          <a:avLst/>
                          <a:gdLst/>
                          <a:ahLst/>
                          <a:rect l="l" t="t" r="r" b="b"/>
                          <a:pathLst>
                            <a:path w="1704975" h="1076325">
                              <a:moveTo>
                                <a:pt x="1704975" y="0"/>
                              </a:moveTo>
                              <a:lnTo>
                                <a:pt x="0" y="0"/>
                              </a:lnTo>
                              <a:lnTo>
                                <a:pt x="0" y="457200"/>
                              </a:lnTo>
                              <a:lnTo>
                                <a:pt x="0" y="1076325"/>
                              </a:lnTo>
                              <a:lnTo>
                                <a:pt x="1704975" y="1076325"/>
                              </a:lnTo>
                              <a:lnTo>
                                <a:pt x="1704975" y="457200"/>
                              </a:lnTo>
                              <a:lnTo>
                                <a:pt x="1704975" y="0"/>
                              </a:lnTo>
                              <a:close/>
                            </a:path>
                          </a:pathLst>
                        </a:custGeom>
                        <a:solidFill>
                          <a:srgbClr val="fafafd"/>
                        </a:solidFill>
                        <a:ln>
                          <a:noFill/>
                        </a:ln>
                      </wps:spPr>
                      <wps:style>
                        <a:lnRef idx="0"/>
                        <a:fillRef idx="0"/>
                        <a:effectRef idx="0"/>
                        <a:fontRef idx="minor"/>
                      </wps:style>
                      <wps:bodyPr/>
                    </wps:wsp>
                  </a:graphicData>
                </a:graphic>
              </wp:anchor>
            </w:drawing>
          </mc:Choice>
          <mc:Fallback>
            <w:pict/>
          </mc:Fallback>
        </mc:AlternateContent>
        <w:drawing>
          <wp:anchor behindDoc="0" distT="0" distB="0" distL="0" distR="0" simplePos="0" locked="0" layoutInCell="1" allowOverlap="1" relativeHeight="2">
            <wp:simplePos x="0" y="0"/>
            <wp:positionH relativeFrom="column">
              <wp:posOffset>504825</wp:posOffset>
            </wp:positionH>
            <wp:positionV relativeFrom="paragraph">
              <wp:posOffset>694055</wp:posOffset>
            </wp:positionV>
            <wp:extent cx="4113530" cy="3030220"/>
            <wp:effectExtent l="0" t="0" r="0" b="0"/>
            <wp:wrapTopAndBottom/>
            <wp:docPr id="10"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descr=""/>
                    <pic:cNvPicPr>
                      <a:picLocks noChangeAspect="1" noChangeArrowheads="1"/>
                    </pic:cNvPicPr>
                  </pic:nvPicPr>
                  <pic:blipFill>
                    <a:blip r:embed="rId12"/>
                    <a:stretch>
                      <a:fillRect/>
                    </a:stretch>
                  </pic:blipFill>
                  <pic:spPr bwMode="auto">
                    <a:xfrm>
                      <a:off x="0" y="0"/>
                      <a:ext cx="4113530" cy="3030220"/>
                    </a:xfrm>
                    <a:prstGeom prst="rect">
                      <a:avLst/>
                    </a:prstGeom>
                  </pic:spPr>
                </pic:pic>
              </a:graphicData>
            </a:graphic>
          </wp:anchor>
        </w:drawing>
      </w:r>
    </w:p>
    <w:p>
      <w:pPr>
        <w:pStyle w:val="Ttulo1"/>
        <w:numPr>
          <w:ilvl w:val="0"/>
          <w:numId w:val="7"/>
        </w:numPr>
        <w:tabs>
          <w:tab w:val="clear" w:pos="720"/>
          <w:tab w:val="left" w:pos="641" w:leader="none"/>
        </w:tabs>
        <w:spacing w:lineRule="auto" w:line="247"/>
        <w:ind w:left="641" w:right="606" w:hanging="420"/>
        <w:rPr>
          <w:rFonts w:ascii="Lexend Light" w:hAnsi="Lexend Light" w:eastAsia="Lexend Light" w:cs="Lexend Light"/>
          <w:color w:val="EC52C1"/>
        </w:rPr>
      </w:pPr>
      <w:r>
        <w:rPr>
          <w:rFonts w:eastAsia="Lexend Light" w:cs="Lexend Light" w:ascii="Lexend Light" w:hAnsi="Lexend Light"/>
          <w:color w:val="2E5395"/>
        </w:rPr>
        <w:t>Convocatoria 2025 al Programa Distrital de Apoyos Concertados - PDAC, Modalidad Proyectos Locales e Interlocales</w:t>
      </w:r>
    </w:p>
    <w:p>
      <w:pPr>
        <w:pStyle w:val="Normal"/>
        <w:pBdr/>
        <w:spacing w:before="8" w:after="0"/>
        <w:rPr>
          <w:rFonts w:ascii="Tahoma" w:hAnsi="Tahoma" w:eastAsia="Tahoma" w:cs="Tahoma"/>
          <w:b/>
          <w:b/>
          <w:color w:val="000000"/>
          <w:sz w:val="56"/>
          <w:szCs w:val="56"/>
        </w:rPr>
      </w:pPr>
      <w:r>
        <w:rPr>
          <w:rFonts w:eastAsia="Tahoma" w:cs="Tahoma" w:ascii="Tahoma" w:hAnsi="Tahoma"/>
          <w:b/>
          <w:color w:val="000000"/>
          <w:sz w:val="56"/>
          <w:szCs w:val="56"/>
        </w:rPr>
      </w:r>
    </w:p>
    <w:p>
      <w:pPr>
        <w:pStyle w:val="Ttulo2"/>
        <w:numPr>
          <w:ilvl w:val="1"/>
          <w:numId w:val="7"/>
        </w:numPr>
        <w:tabs>
          <w:tab w:val="clear" w:pos="720"/>
          <w:tab w:val="left" w:pos="1075" w:leader="none"/>
          <w:tab w:val="left" w:pos="1076" w:leader="none"/>
        </w:tabs>
        <w:spacing w:before="1" w:after="0"/>
        <w:rPr>
          <w:rFonts w:ascii="Lexend Light" w:hAnsi="Lexend Light" w:eastAsia="Lexend Light" w:cs="Lexend Light"/>
          <w:color w:val="EC4ED0"/>
        </w:rPr>
      </w:pPr>
      <w:r>
        <mc:AlternateContent>
          <mc:Choice Requires="wps">
            <w:drawing>
              <wp:anchor behindDoc="1" distT="0" distB="0" distL="0" distR="0" simplePos="0" locked="0" layoutInCell="1" allowOverlap="1" relativeHeight="17" wp14:anchorId="1A47B20F">
                <wp:simplePos x="0" y="0"/>
                <wp:positionH relativeFrom="column">
                  <wp:posOffset>4127500</wp:posOffset>
                </wp:positionH>
                <wp:positionV relativeFrom="paragraph">
                  <wp:posOffset>939800</wp:posOffset>
                </wp:positionV>
                <wp:extent cx="1715135" cy="743585"/>
                <wp:effectExtent l="0" t="0" r="0" b="0"/>
                <wp:wrapNone/>
                <wp:docPr id="11" name="Forma libre: forma 29"/>
                <a:graphic xmlns:a="http://schemas.openxmlformats.org/drawingml/2006/main">
                  <a:graphicData uri="http://schemas.microsoft.com/office/word/2010/wordprocessingShape">
                    <wps:wsp>
                      <wps:cNvSpPr/>
                      <wps:spPr>
                        <a:xfrm>
                          <a:off x="0" y="0"/>
                          <a:ext cx="1714680" cy="743040"/>
                        </a:xfrm>
                        <a:custGeom>
                          <a:avLst/>
                          <a:gdLst/>
                          <a:ahLst/>
                          <a:rect l="l" t="t" r="r" b="b"/>
                          <a:pathLst>
                            <a:path w="1704975" h="733425">
                              <a:moveTo>
                                <a:pt x="1704975" y="0"/>
                              </a:moveTo>
                              <a:lnTo>
                                <a:pt x="0" y="0"/>
                              </a:lnTo>
                              <a:lnTo>
                                <a:pt x="0" y="285750"/>
                              </a:lnTo>
                              <a:lnTo>
                                <a:pt x="0" y="733425"/>
                              </a:lnTo>
                              <a:lnTo>
                                <a:pt x="1704975" y="733425"/>
                              </a:lnTo>
                              <a:lnTo>
                                <a:pt x="1704975" y="285750"/>
                              </a:lnTo>
                              <a:lnTo>
                                <a:pt x="1704975" y="0"/>
                              </a:lnTo>
                              <a:close/>
                            </a:path>
                          </a:pathLst>
                        </a:custGeom>
                        <a:solidFill>
                          <a:srgbClr val="fafafd"/>
                        </a:solidFill>
                        <a:ln>
                          <a:noFill/>
                        </a:ln>
                      </wps:spPr>
                      <wps:style>
                        <a:lnRef idx="0"/>
                        <a:fillRef idx="0"/>
                        <a:effectRef idx="0"/>
                        <a:fontRef idx="minor"/>
                      </wps:style>
                      <wps:bodyPr/>
                    </wps:wsp>
                  </a:graphicData>
                </a:graphic>
              </wp:anchor>
            </w:drawing>
          </mc:Choice>
          <mc:Fallback>
            <w:pict/>
          </mc:Fallback>
        </mc:AlternateContent>
      </w:r>
      <w:r>
        <w:rPr>
          <w:rFonts w:eastAsia="Lexend Light" w:cs="Lexend Light" w:ascii="Lexend Light" w:hAnsi="Lexend Light"/>
          <w:color w:val="2E5395"/>
        </w:rPr>
        <w:t>¿Cuál es el cronograma de la convocatoria?</w:t>
      </w:r>
    </w:p>
    <w:p>
      <w:pPr>
        <w:pStyle w:val="Normal"/>
        <w:pBdr/>
        <w:spacing w:before="2" w:after="0"/>
        <w:rPr>
          <w:rFonts w:ascii="Tahoma" w:hAnsi="Tahoma" w:eastAsia="Tahoma" w:cs="Tahoma"/>
          <w:b/>
          <w:b/>
          <w:color w:val="000000"/>
          <w:sz w:val="20"/>
          <w:szCs w:val="20"/>
        </w:rPr>
      </w:pPr>
      <w:r>
        <w:rPr>
          <w:rFonts w:eastAsia="Tahoma" w:cs="Tahoma" w:ascii="Tahoma" w:hAnsi="Tahoma"/>
          <w:b/>
          <w:color w:val="000000"/>
          <w:sz w:val="20"/>
          <w:szCs w:val="20"/>
        </w:rPr>
      </w:r>
    </w:p>
    <w:tbl>
      <w:tblPr>
        <w:tblStyle w:val="a"/>
        <w:tblW w:w="8779" w:type="dxa"/>
        <w:jc w:val="left"/>
        <w:tblInd w:w="270" w:type="dxa"/>
        <w:tblCellMar>
          <w:top w:w="0" w:type="dxa"/>
          <w:left w:w="108" w:type="dxa"/>
          <w:bottom w:w="0" w:type="dxa"/>
          <w:right w:w="108" w:type="dxa"/>
        </w:tblCellMar>
        <w:tblLook w:firstRow="0" w:noVBand="0" w:lastRow="0" w:firstColumn="0" w:lastColumn="0" w:noHBand="0" w:val="0000"/>
      </w:tblPr>
      <w:tblGrid>
        <w:gridCol w:w="50"/>
        <w:gridCol w:w="6032"/>
        <w:gridCol w:w="18"/>
        <w:gridCol w:w="2650"/>
        <w:gridCol w:w="28"/>
      </w:tblGrid>
      <w:tr>
        <w:trPr>
          <w:tblHeader w:val="true"/>
          <w:trHeight w:val="389" w:hRule="atLeast"/>
        </w:trPr>
        <w:tc>
          <w:tcPr>
            <w:tcW w:w="6100" w:type="dxa"/>
            <w:gridSpan w:val="3"/>
            <w:tcBorders>
              <w:top w:val="single" w:sz="12" w:space="0" w:color="FFFFFF"/>
              <w:left w:val="single" w:sz="12" w:space="0" w:color="FFFFFF"/>
              <w:bottom w:val="single" w:sz="12" w:space="0" w:color="FFFFFF"/>
              <w:right w:val="single" w:sz="12" w:space="0" w:color="FFFFFF"/>
            </w:tcBorders>
            <w:shd w:color="auto" w:fill="EC52C1" w:val="clear"/>
            <w:vAlign w:val="center"/>
          </w:tcPr>
          <w:p>
            <w:pPr>
              <w:pStyle w:val="Normal"/>
              <w:pBdr/>
              <w:spacing w:lineRule="auto" w:line="264"/>
              <w:ind w:left="2350" w:right="2332" w:hanging="0"/>
              <w:jc w:val="center"/>
              <w:rPr>
                <w:rFonts w:ascii="Lexend Light" w:hAnsi="Lexend Light" w:eastAsia="Lexend Light" w:cs="Lexend Light"/>
                <w:b/>
                <w:b/>
                <w:color w:val="000000"/>
              </w:rPr>
            </w:pPr>
            <w:r>
              <w:rPr>
                <w:rFonts w:eastAsia="Lexend Light" w:cs="Lexend Light" w:ascii="Lexend Light" w:hAnsi="Lexend Light"/>
                <w:b/>
                <w:color w:val="FFFFFF"/>
              </w:rPr>
              <w:t>ACTIVIDAD</w:t>
            </w:r>
          </w:p>
        </w:tc>
        <w:tc>
          <w:tcPr>
            <w:tcW w:w="2678" w:type="dxa"/>
            <w:gridSpan w:val="2"/>
            <w:tcBorders>
              <w:top w:val="single" w:sz="12" w:space="0" w:color="FFFFFF"/>
              <w:left w:val="single" w:sz="12" w:space="0" w:color="FFFFFF"/>
              <w:bottom w:val="single" w:sz="12" w:space="0" w:color="FFFFFF"/>
              <w:right w:val="single" w:sz="12" w:space="0" w:color="FFFFFF"/>
            </w:tcBorders>
            <w:shd w:color="auto" w:fill="EC52C1" w:val="clear"/>
            <w:vAlign w:val="center"/>
          </w:tcPr>
          <w:p>
            <w:pPr>
              <w:pStyle w:val="Normal"/>
              <w:pBdr/>
              <w:spacing w:lineRule="auto" w:line="264"/>
              <w:ind w:left="931" w:right="918" w:hanging="0"/>
              <w:jc w:val="center"/>
              <w:rPr>
                <w:rFonts w:ascii="Lexend Light" w:hAnsi="Lexend Light" w:eastAsia="Lexend Light" w:cs="Lexend Light"/>
                <w:b/>
                <w:b/>
                <w:color w:val="000000"/>
              </w:rPr>
            </w:pPr>
            <w:r>
              <w:rPr>
                <w:rFonts w:eastAsia="Lexend Light" w:cs="Lexend Light" w:ascii="Lexend Light" w:hAnsi="Lexend Light"/>
                <w:b/>
                <w:color w:val="FFFFFF"/>
              </w:rPr>
              <w:t>FECHA</w:t>
            </w:r>
          </w:p>
        </w:tc>
      </w:tr>
      <w:tr>
        <w:trPr>
          <w:trHeight w:val="450" w:hRule="atLeast"/>
        </w:trPr>
        <w:tc>
          <w:tcPr>
            <w:tcW w:w="8778" w:type="dxa"/>
            <w:gridSpan w:val="5"/>
            <w:tcBorders>
              <w:top w:val="single" w:sz="12" w:space="0" w:color="FFFFFF"/>
              <w:left w:val="single" w:sz="12" w:space="0" w:color="FFFFFF"/>
              <w:bottom w:val="single" w:sz="12" w:space="0" w:color="FFFFFF"/>
              <w:right w:val="single" w:sz="12" w:space="0" w:color="FFFFFF"/>
            </w:tcBorders>
            <w:shd w:color="auto" w:fill="A144E7" w:val="clear"/>
            <w:vAlign w:val="center"/>
          </w:tcPr>
          <w:p>
            <w:pPr>
              <w:pStyle w:val="Normal"/>
              <w:pBdr/>
              <w:spacing w:before="6" w:after="0"/>
              <w:ind w:left="115" w:hanging="0"/>
              <w:rPr>
                <w:rFonts w:ascii="Lexend Light" w:hAnsi="Lexend Light" w:eastAsia="Lexend Light" w:cs="Lexend Light"/>
                <w:b/>
                <w:b/>
                <w:color w:val="000000"/>
              </w:rPr>
            </w:pPr>
            <w:r>
              <w:rPr>
                <w:rFonts w:eastAsia="Lexend Light" w:cs="Lexend Light" w:ascii="Lexend Light" w:hAnsi="Lexend Light"/>
                <w:b/>
                <w:color w:val="FFFFFF"/>
              </w:rPr>
              <w:t>1. Publicación de la convocatoria</w:t>
            </w:r>
          </w:p>
        </w:tc>
      </w:tr>
      <w:tr>
        <w:trPr>
          <w:trHeight w:val="410" w:hRule="atLeast"/>
        </w:trPr>
        <w:tc>
          <w:tcPr>
            <w:tcW w:w="6100" w:type="dxa"/>
            <w:gridSpan w:val="3"/>
            <w:tcBorders>
              <w:top w:val="single" w:sz="12" w:space="0" w:color="FFFFFF"/>
              <w:left w:val="single" w:sz="12" w:space="0" w:color="FFFFFF"/>
              <w:bottom w:val="single" w:sz="12" w:space="0" w:color="FFFFFF"/>
            </w:tcBorders>
            <w:shd w:color="auto" w:fill="ECF1FA" w:val="clear"/>
            <w:vAlign w:val="center"/>
          </w:tcPr>
          <w:p>
            <w:pPr>
              <w:pStyle w:val="Normal"/>
              <w:pBdr/>
              <w:ind w:left="475" w:hanging="0"/>
              <w:rPr>
                <w:rFonts w:ascii="Lexend Light" w:hAnsi="Lexend Light" w:eastAsia="Lexend Light" w:cs="Lexend Light"/>
                <w:color w:val="000000"/>
              </w:rPr>
            </w:pPr>
            <w:r>
              <w:rPr>
                <w:rFonts w:eastAsia="Lexend Light" w:cs="Lexend Light" w:ascii="Lexend Light" w:hAnsi="Lexend Light"/>
                <w:b/>
                <w:color w:val="000000"/>
              </w:rPr>
              <w:t xml:space="preserve">1.1. </w:t>
            </w:r>
            <w:r>
              <w:rPr>
                <w:rFonts w:eastAsia="Lexend Light" w:cs="Lexend Light" w:ascii="Lexend Light" w:hAnsi="Lexend Light"/>
                <w:color w:val="382263"/>
              </w:rPr>
              <w:t>Publicación de la convocatoria</w:t>
            </w:r>
          </w:p>
        </w:tc>
        <w:tc>
          <w:tcPr>
            <w:tcW w:w="2678" w:type="dxa"/>
            <w:gridSpan w:val="2"/>
            <w:tcBorders>
              <w:top w:val="single" w:sz="12" w:space="0" w:color="FFFFFF"/>
              <w:bottom w:val="single" w:sz="12" w:space="0" w:color="FFFFFF"/>
              <w:right w:val="single" w:sz="12" w:space="0" w:color="FFFFFF"/>
            </w:tcBorders>
            <w:shd w:color="auto" w:fill="FAFAFD" w:val="clear"/>
            <w:vAlign w:val="center"/>
          </w:tcPr>
          <w:p>
            <w:pPr>
              <w:pStyle w:val="Normal"/>
              <w:pBdr/>
              <w:ind w:left="127" w:hanging="0"/>
              <w:rPr>
                <w:rFonts w:ascii="Lexend Light" w:hAnsi="Lexend Light" w:eastAsia="Lexend Light" w:cs="Lexend Light"/>
                <w:color w:val="382263"/>
              </w:rPr>
            </w:pPr>
            <w:r>
              <w:rPr>
                <w:rFonts w:eastAsia="Lexend Light" w:cs="Lexend Light" w:ascii="Lexend Light" w:hAnsi="Lexend Light"/>
                <w:color w:val="382263"/>
              </w:rPr>
              <w:t>20 de septiembre de 2024</w:t>
            </w:r>
          </w:p>
        </w:tc>
      </w:tr>
      <w:tr>
        <w:trPr>
          <w:trHeight w:val="690" w:hRule="atLeast"/>
        </w:trPr>
        <w:tc>
          <w:tcPr>
            <w:tcW w:w="6100" w:type="dxa"/>
            <w:gridSpan w:val="3"/>
            <w:tcBorders>
              <w:top w:val="single" w:sz="12" w:space="0" w:color="FFFFFF"/>
              <w:left w:val="single" w:sz="12" w:space="0" w:color="FFFFFF"/>
              <w:bottom w:val="single" w:sz="12" w:space="0" w:color="FFFFFF"/>
            </w:tcBorders>
            <w:shd w:color="auto" w:fill="ECF1FA" w:val="clear"/>
            <w:vAlign w:val="center"/>
          </w:tcPr>
          <w:p>
            <w:pPr>
              <w:pStyle w:val="Normal"/>
              <w:pBdr/>
              <w:spacing w:lineRule="auto" w:line="264" w:before="1" w:after="0"/>
              <w:ind w:left="910" w:hanging="435"/>
              <w:rPr>
                <w:rFonts w:ascii="Lexend Light" w:hAnsi="Lexend Light" w:eastAsia="Lexend Light" w:cs="Lexend Light"/>
                <w:color w:val="000000"/>
              </w:rPr>
            </w:pPr>
            <w:r>
              <w:rPr>
                <w:rFonts w:eastAsia="Lexend Light" w:cs="Lexend Light" w:ascii="Lexend Light" w:hAnsi="Lexend Light"/>
                <w:b/>
                <w:color w:val="000000"/>
              </w:rPr>
              <w:t xml:space="preserve">1.2. </w:t>
            </w:r>
            <w:r>
              <w:rPr>
                <w:rFonts w:eastAsia="Lexend Light" w:cs="Lexend Light" w:ascii="Lexend Light" w:hAnsi="Lexend Light"/>
                <w:color w:val="382263"/>
              </w:rPr>
              <w:t>Recepción de comentarios de la ciudadanía sobre la convocatoria</w:t>
            </w:r>
          </w:p>
        </w:tc>
        <w:tc>
          <w:tcPr>
            <w:tcW w:w="2678" w:type="dxa"/>
            <w:gridSpan w:val="2"/>
            <w:tcBorders>
              <w:top w:val="single" w:sz="12" w:space="0" w:color="FFFFFF"/>
              <w:bottom w:val="single" w:sz="12" w:space="0" w:color="FFFFFF"/>
              <w:right w:val="single" w:sz="12" w:space="0" w:color="FFFFFF"/>
            </w:tcBorders>
            <w:shd w:color="auto" w:fill="FAFAFD" w:val="clear"/>
            <w:vAlign w:val="center"/>
          </w:tcPr>
          <w:p>
            <w:pPr>
              <w:pStyle w:val="Normal"/>
              <w:pBdr/>
              <w:spacing w:before="1" w:after="0"/>
              <w:ind w:left="127" w:hanging="0"/>
              <w:rPr>
                <w:rFonts w:ascii="Lexend Light" w:hAnsi="Lexend Light" w:eastAsia="Lexend Light" w:cs="Lexend Light"/>
                <w:color w:val="382263"/>
              </w:rPr>
            </w:pPr>
            <w:r>
              <w:rPr>
                <w:rFonts w:eastAsia="Lexend Light" w:cs="Lexend Light" w:ascii="Lexend Light" w:hAnsi="Lexend Light"/>
                <w:color w:val="382263"/>
              </w:rPr>
              <w:t xml:space="preserve">20 de septiembre al 24 de septiembre de 2024 </w:t>
            </w:r>
          </w:p>
        </w:tc>
      </w:tr>
      <w:tr>
        <w:trPr>
          <w:trHeight w:val="409" w:hRule="atLeast"/>
        </w:trPr>
        <w:tc>
          <w:tcPr>
            <w:tcW w:w="8778" w:type="dxa"/>
            <w:gridSpan w:val="5"/>
            <w:tcBorders>
              <w:top w:val="single" w:sz="12" w:space="0" w:color="FFFFFF"/>
              <w:left w:val="single" w:sz="12" w:space="0" w:color="FFFFFF"/>
              <w:bottom w:val="single" w:sz="12" w:space="0" w:color="FFFFFF"/>
              <w:right w:val="single" w:sz="12" w:space="0" w:color="FFFFFF"/>
            </w:tcBorders>
            <w:shd w:color="auto" w:fill="A144E7" w:val="clear"/>
            <w:vAlign w:val="center"/>
          </w:tcPr>
          <w:p>
            <w:pPr>
              <w:pStyle w:val="Normal"/>
              <w:pBdr/>
              <w:spacing w:lineRule="auto" w:line="237"/>
              <w:ind w:left="115" w:hanging="0"/>
              <w:rPr>
                <w:rFonts w:ascii="Lexend Light" w:hAnsi="Lexend Light" w:eastAsia="Lexend Light" w:cs="Lexend Light"/>
                <w:b/>
                <w:b/>
                <w:color w:val="000000"/>
              </w:rPr>
            </w:pPr>
            <w:r>
              <w:rPr>
                <w:rFonts w:eastAsia="Lexend Light" w:cs="Lexend Light" w:ascii="Lexend Light" w:hAnsi="Lexend Light"/>
                <w:b/>
                <w:color w:val="FFFFFF"/>
              </w:rPr>
              <w:t>2. Apertura de la convocatoria, registro de entidades e inscripción de proyectos</w:t>
            </w:r>
          </w:p>
        </w:tc>
      </w:tr>
      <w:tr>
        <w:trPr>
          <w:trHeight w:val="690" w:hRule="atLeast"/>
        </w:trPr>
        <w:tc>
          <w:tcPr>
            <w:tcW w:w="6100" w:type="dxa"/>
            <w:gridSpan w:val="3"/>
            <w:tcBorders>
              <w:top w:val="single" w:sz="12" w:space="0" w:color="FFFFFF"/>
              <w:left w:val="single" w:sz="12" w:space="0" w:color="FFFFFF"/>
              <w:bottom w:val="single" w:sz="12" w:space="0" w:color="FFFFFF"/>
            </w:tcBorders>
            <w:shd w:color="auto" w:fill="ECF1FA" w:val="clear"/>
            <w:vAlign w:val="center"/>
          </w:tcPr>
          <w:p>
            <w:pPr>
              <w:pStyle w:val="Normal"/>
              <w:pBdr/>
              <w:spacing w:before="135" w:after="0"/>
              <w:ind w:left="475" w:hanging="0"/>
              <w:rPr>
                <w:rFonts w:ascii="Lexend Light" w:hAnsi="Lexend Light" w:eastAsia="Lexend Light" w:cs="Lexend Light"/>
                <w:color w:val="000000"/>
              </w:rPr>
            </w:pPr>
            <w:r>
              <w:rPr>
                <w:rFonts w:eastAsia="Lexend Light" w:cs="Lexend Light" w:ascii="Lexend Light" w:hAnsi="Lexend Light"/>
                <w:b/>
                <w:color w:val="000000"/>
              </w:rPr>
              <w:t xml:space="preserve">2.1. </w:t>
            </w:r>
            <w:r>
              <w:rPr>
                <w:rFonts w:eastAsia="Lexend Light" w:cs="Lexend Light" w:ascii="Lexend Light" w:hAnsi="Lexend Light"/>
                <w:color w:val="382263"/>
              </w:rPr>
              <w:t>Apertura de la convocatoria</w:t>
            </w:r>
          </w:p>
        </w:tc>
        <w:tc>
          <w:tcPr>
            <w:tcW w:w="2678" w:type="dxa"/>
            <w:gridSpan w:val="2"/>
            <w:tcBorders>
              <w:top w:val="single" w:sz="12" w:space="0" w:color="FFFFFF"/>
              <w:bottom w:val="single" w:sz="12" w:space="0" w:color="FFFFFF"/>
              <w:right w:val="single" w:sz="12" w:space="0" w:color="FFFFFF"/>
            </w:tcBorders>
            <w:shd w:color="auto" w:fill="FAFAFD" w:val="clear"/>
            <w:vAlign w:val="center"/>
          </w:tcPr>
          <w:p>
            <w:pPr>
              <w:pStyle w:val="Normal"/>
              <w:pBdr/>
              <w:ind w:left="127" w:hanging="0"/>
              <w:rPr>
                <w:rFonts w:ascii="Lexend Light" w:hAnsi="Lexend Light" w:eastAsia="Lexend Light" w:cs="Lexend Light"/>
                <w:color w:val="382263"/>
              </w:rPr>
            </w:pPr>
            <w:r>
              <w:rPr>
                <w:rFonts w:eastAsia="Lexend Light" w:cs="Lexend Light" w:ascii="Lexend Light" w:hAnsi="Lexend Light"/>
                <w:color w:val="382263"/>
              </w:rPr>
              <w:t>26 de septiembre de 2024</w:t>
            </w:r>
          </w:p>
        </w:tc>
      </w:tr>
      <w:tr>
        <w:trPr>
          <w:trHeight w:val="950" w:hRule="atLeast"/>
        </w:trPr>
        <w:tc>
          <w:tcPr>
            <w:tcW w:w="6100" w:type="dxa"/>
            <w:gridSpan w:val="3"/>
            <w:tcBorders>
              <w:top w:val="single" w:sz="12" w:space="0" w:color="FFFFFF"/>
              <w:left w:val="single" w:sz="12" w:space="0" w:color="FFFFFF"/>
              <w:bottom w:val="single" w:sz="12" w:space="0" w:color="FFFFFF"/>
            </w:tcBorders>
            <w:shd w:color="auto" w:fill="ECF1FA" w:val="clear"/>
            <w:vAlign w:val="center"/>
          </w:tcPr>
          <w:p>
            <w:pPr>
              <w:pStyle w:val="Normal"/>
              <w:pBdr/>
              <w:spacing w:lineRule="auto" w:line="264" w:before="130" w:after="0"/>
              <w:ind w:left="910" w:right="117" w:hanging="435"/>
              <w:rPr>
                <w:rFonts w:ascii="Lexend Light" w:hAnsi="Lexend Light" w:eastAsia="Lexend Light" w:cs="Lexend Light"/>
                <w:color w:val="000000"/>
              </w:rPr>
            </w:pPr>
            <w:r>
              <w:rPr>
                <w:rFonts w:eastAsia="Lexend Light" w:cs="Lexend Light" w:ascii="Lexend Light" w:hAnsi="Lexend Light"/>
                <w:b/>
                <w:color w:val="000000"/>
              </w:rPr>
              <w:t xml:space="preserve">2.2. </w:t>
            </w:r>
            <w:r>
              <w:rPr>
                <w:rFonts w:eastAsia="Lexend Light" w:cs="Lexend Light" w:ascii="Lexend Light" w:hAnsi="Lexend Light"/>
                <w:color w:val="382263"/>
              </w:rPr>
              <w:t>Registro de entidades e Inscripción de proyectos a través de la plataforma SICON</w:t>
            </w:r>
          </w:p>
        </w:tc>
        <w:tc>
          <w:tcPr>
            <w:tcW w:w="2678" w:type="dxa"/>
            <w:gridSpan w:val="2"/>
            <w:tcBorders>
              <w:top w:val="single" w:sz="12" w:space="0" w:color="FFFFFF"/>
              <w:bottom w:val="single" w:sz="12" w:space="0" w:color="FFFFFF"/>
              <w:right w:val="single" w:sz="12" w:space="0" w:color="FFFFFF"/>
            </w:tcBorders>
            <w:shd w:color="auto" w:fill="FAFAFD" w:val="clear"/>
            <w:vAlign w:val="center"/>
          </w:tcPr>
          <w:p>
            <w:pPr>
              <w:pStyle w:val="Normal"/>
              <w:pBdr/>
              <w:ind w:left="127" w:hanging="0"/>
              <w:rPr>
                <w:rFonts w:ascii="Lexend Light" w:hAnsi="Lexend Light" w:eastAsia="Lexend Light" w:cs="Lexend Light"/>
                <w:color w:val="382263"/>
              </w:rPr>
            </w:pPr>
            <w:r>
              <w:rPr>
                <w:rFonts w:eastAsia="Lexend Light" w:cs="Lexend Light" w:ascii="Lexend Light" w:hAnsi="Lexend Light"/>
                <w:color w:val="382263"/>
              </w:rPr>
              <w:t>26 de septiembre al 7 de noviembre de 2024, hasta las 5:00pm</w:t>
            </w:r>
          </w:p>
        </w:tc>
      </w:tr>
      <w:tr>
        <w:trPr>
          <w:trHeight w:val="689"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8700" w:type="dxa"/>
            <w:gridSpan w:val="3"/>
            <w:tcBorders>
              <w:top w:val="single" w:sz="12" w:space="0" w:color="FFFFFF"/>
              <w:left w:val="single" w:sz="12" w:space="0" w:color="FFFFFF"/>
              <w:bottom w:val="single" w:sz="12" w:space="0" w:color="FFFFFF"/>
              <w:right w:val="single" w:sz="12" w:space="0" w:color="FFFFFF"/>
            </w:tcBorders>
            <w:shd w:color="auto" w:fill="A144E7" w:val="clear"/>
            <w:vAlign w:val="center"/>
          </w:tcPr>
          <w:p>
            <w:pPr>
              <w:pStyle w:val="Normal"/>
              <w:pBdr/>
              <w:spacing w:lineRule="auto" w:line="266"/>
              <w:ind w:left="475" w:hanging="360"/>
              <w:rPr>
                <w:rFonts w:ascii="Lexend" w:hAnsi="Lexend" w:eastAsia="Lexend" w:cs="Lexend"/>
                <w:color w:val="000000"/>
              </w:rPr>
            </w:pPr>
            <w:r>
              <w:rPr>
                <w:rFonts w:eastAsia="Tahoma" w:cs="Tahoma" w:ascii="Tahoma" w:hAnsi="Tahoma"/>
                <w:b/>
                <w:color w:val="FFFFFF"/>
                <w:sz w:val="20"/>
                <w:szCs w:val="20"/>
              </w:rPr>
              <w:t>3.</w:t>
            </w:r>
            <w:r>
              <w:rPr>
                <w:rFonts w:eastAsia="Tahoma" w:cs="Tahoma" w:ascii="Tahoma" w:hAnsi="Tahoma"/>
                <w:b/>
                <w:color w:val="FFFFFF"/>
              </w:rPr>
              <w:t xml:space="preserve"> </w:t>
            </w:r>
            <w:r>
              <w:rPr>
                <w:rFonts w:eastAsia="Lexend" w:cs="Lexend" w:ascii="Lexend" w:hAnsi="Lexend"/>
                <w:color w:val="FFFFFF"/>
              </w:rPr>
              <w:t>Veriﬁcación de documentación administrativa y técnica de las entidades participantes</w:t>
            </w:r>
          </w:p>
        </w:tc>
        <w:tc>
          <w:tcPr>
            <w:tcW w:w="28" w:type="dxa"/>
            <w:tcBorders/>
            <w:shd w:fill="auto" w:val="clear"/>
          </w:tcPr>
          <w:p>
            <w:pPr>
              <w:pStyle w:val="Normal"/>
              <w:rPr/>
            </w:pPr>
            <w:r>
              <w:rPr/>
            </w:r>
          </w:p>
        </w:tc>
      </w:tr>
      <w:tr>
        <w:trPr>
          <w:trHeight w:val="670"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Tahoma" w:hAnsi="Tahoma" w:eastAsia="Tahoma" w:cs="Tahoma"/>
                <w:b/>
                <w:b/>
                <w:color w:val="000000"/>
                <w:sz w:val="20"/>
                <w:szCs w:val="20"/>
              </w:rPr>
            </w:pPr>
            <w:r>
              <w:rPr>
                <w:rFonts w:eastAsia="Tahoma" w:cs="Tahoma" w:ascii="Tahoma" w:hAnsi="Tahoma"/>
                <w:b/>
                <w:color w:val="000000"/>
                <w:sz w:val="20"/>
                <w:szCs w:val="20"/>
              </w:rPr>
            </w:r>
          </w:p>
        </w:tc>
        <w:tc>
          <w:tcPr>
            <w:tcW w:w="6032" w:type="dxa"/>
            <w:tcBorders>
              <w:top w:val="single" w:sz="12" w:space="0" w:color="FFFFFF"/>
              <w:left w:val="single" w:sz="12" w:space="0" w:color="FFFFFF"/>
              <w:bottom w:val="single" w:sz="12" w:space="0" w:color="FFFFFF"/>
            </w:tcBorders>
            <w:shd w:color="auto" w:fill="ECF1FA" w:val="clear"/>
            <w:vAlign w:val="center"/>
          </w:tcPr>
          <w:p>
            <w:pPr>
              <w:pStyle w:val="Normal"/>
              <w:pBdr/>
              <w:spacing w:before="125" w:after="0"/>
              <w:ind w:left="475" w:hanging="0"/>
              <w:rPr>
                <w:color w:val="000000"/>
                <w:sz w:val="20"/>
                <w:szCs w:val="20"/>
              </w:rPr>
            </w:pPr>
            <w:r>
              <w:rPr>
                <w:rFonts w:eastAsia="Tahoma" w:cs="Tahoma" w:ascii="Tahoma" w:hAnsi="Tahoma"/>
                <w:b/>
                <w:color w:val="000000"/>
                <w:sz w:val="20"/>
                <w:szCs w:val="20"/>
              </w:rPr>
              <w:t xml:space="preserve">3.1. </w:t>
            </w:r>
            <w:r>
              <w:rPr>
                <w:rFonts w:eastAsia="Lexend Light" w:cs="Lexend Light" w:ascii="Lexend Light" w:hAnsi="Lexend Light"/>
                <w:color w:val="382263"/>
              </w:rPr>
              <w:t>Veriﬁcación de documentación administrativa</w:t>
            </w:r>
          </w:p>
        </w:tc>
        <w:tc>
          <w:tcPr>
            <w:tcW w:w="2668" w:type="dxa"/>
            <w:gridSpan w:val="2"/>
            <w:tcBorders>
              <w:top w:val="single" w:sz="12" w:space="0" w:color="FFFFFF"/>
              <w:bottom w:val="single" w:sz="12" w:space="0" w:color="FFFFFF"/>
              <w:right w:val="single" w:sz="12" w:space="0" w:color="FFFFFF"/>
            </w:tcBorders>
            <w:shd w:color="auto" w:fill="FAFAFD" w:val="clear"/>
            <w:vAlign w:val="center"/>
          </w:tcPr>
          <w:p>
            <w:pPr>
              <w:pStyle w:val="Normal"/>
              <w:pBdr/>
              <w:spacing w:lineRule="auto" w:line="232"/>
              <w:ind w:left="124" w:hanging="0"/>
              <w:rPr>
                <w:rFonts w:ascii="Lexend Light" w:hAnsi="Lexend Light" w:eastAsia="Lexend Light" w:cs="Lexend Light"/>
                <w:color w:val="382263"/>
              </w:rPr>
            </w:pPr>
            <w:r>
              <w:rPr>
                <w:rFonts w:eastAsia="Lexend Light" w:cs="Lexend Light" w:ascii="Lexend Light" w:hAnsi="Lexend Light"/>
                <w:color w:val="382263"/>
              </w:rPr>
              <w:t>08 de noviembre al 27 de noviembre de</w:t>
            </w:r>
          </w:p>
          <w:p>
            <w:pPr>
              <w:pStyle w:val="Normal"/>
              <w:pBdr/>
              <w:spacing w:before="26" w:after="0"/>
              <w:ind w:left="124" w:hanging="0"/>
              <w:rPr>
                <w:rFonts w:ascii="Lexend Light" w:hAnsi="Lexend Light" w:eastAsia="Lexend Light" w:cs="Lexend Light"/>
                <w:color w:val="382263"/>
              </w:rPr>
            </w:pPr>
            <w:r>
              <w:rPr>
                <w:rFonts w:eastAsia="Lexend Light" w:cs="Lexend Light" w:ascii="Lexend Light" w:hAnsi="Lexend Light"/>
                <w:color w:val="382263"/>
              </w:rPr>
              <w:t>2024</w:t>
            </w:r>
          </w:p>
        </w:tc>
        <w:tc>
          <w:tcPr>
            <w:tcW w:w="28" w:type="dxa"/>
            <w:tcBorders/>
            <w:shd w:fill="auto" w:val="clear"/>
          </w:tcPr>
          <w:p>
            <w:pPr>
              <w:pStyle w:val="Normal"/>
              <w:rPr/>
            </w:pPr>
            <w:r>
              <w:rPr/>
            </w:r>
          </w:p>
        </w:tc>
      </w:tr>
      <w:tr>
        <w:trPr>
          <w:trHeight w:val="690"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6032" w:type="dxa"/>
            <w:tcBorders>
              <w:top w:val="single" w:sz="12" w:space="0" w:color="FFFFFF"/>
              <w:left w:val="single" w:sz="12" w:space="0" w:color="FFFFFF"/>
              <w:bottom w:val="single" w:sz="12" w:space="0" w:color="FFFFFF"/>
            </w:tcBorders>
            <w:shd w:color="auto" w:fill="ECF1FA" w:val="clear"/>
            <w:vAlign w:val="center"/>
          </w:tcPr>
          <w:p>
            <w:pPr>
              <w:pStyle w:val="Normal"/>
              <w:pBdr/>
              <w:spacing w:lineRule="auto" w:line="264" w:before="4" w:after="0"/>
              <w:ind w:left="910" w:hanging="435"/>
              <w:rPr>
                <w:color w:val="000000"/>
                <w:sz w:val="20"/>
                <w:szCs w:val="20"/>
              </w:rPr>
            </w:pPr>
            <w:r>
              <w:rPr>
                <w:rFonts w:eastAsia="Tahoma" w:cs="Tahoma" w:ascii="Tahoma" w:hAnsi="Tahoma"/>
                <w:b/>
                <w:color w:val="000000"/>
                <w:sz w:val="20"/>
                <w:szCs w:val="20"/>
              </w:rPr>
              <w:t xml:space="preserve">3.2. </w:t>
            </w:r>
            <w:r>
              <w:rPr>
                <w:rFonts w:eastAsia="Lexend Light" w:cs="Lexend Light" w:ascii="Lexend Light" w:hAnsi="Lexend Light"/>
                <w:color w:val="382263"/>
              </w:rPr>
              <w:t>Publicación del listado de entidades con proyectos habilitados, no habilitados y por subsanar</w:t>
            </w:r>
          </w:p>
        </w:tc>
        <w:tc>
          <w:tcPr>
            <w:tcW w:w="2668" w:type="dxa"/>
            <w:gridSpan w:val="2"/>
            <w:tcBorders>
              <w:top w:val="single" w:sz="12" w:space="0" w:color="FFFFFF"/>
              <w:bottom w:val="single" w:sz="12" w:space="0" w:color="FFFFFF"/>
              <w:right w:val="single" w:sz="12" w:space="0" w:color="FFFFFF"/>
            </w:tcBorders>
            <w:shd w:color="auto" w:fill="FAFAFD" w:val="clear"/>
            <w:vAlign w:val="center"/>
          </w:tcPr>
          <w:p>
            <w:pPr>
              <w:pStyle w:val="Normal"/>
              <w:pBdr/>
              <w:spacing w:before="139" w:after="0"/>
              <w:ind w:left="124" w:hanging="0"/>
              <w:rPr>
                <w:rFonts w:ascii="Lexend" w:hAnsi="Lexend" w:eastAsia="Lexend" w:cs="Lexend"/>
                <w:b/>
                <w:b/>
                <w:color w:val="382263"/>
              </w:rPr>
            </w:pPr>
            <w:r>
              <w:rPr>
                <w:rFonts w:eastAsia="Lexend" w:cs="Lexend" w:ascii="Lexend" w:hAnsi="Lexend"/>
                <w:b/>
                <w:color w:val="382263"/>
              </w:rPr>
              <w:t>29 de noviembre de 2024</w:t>
            </w:r>
          </w:p>
        </w:tc>
        <w:tc>
          <w:tcPr>
            <w:tcW w:w="28" w:type="dxa"/>
            <w:tcBorders/>
            <w:shd w:fill="auto" w:val="clear"/>
          </w:tcPr>
          <w:p>
            <w:pPr>
              <w:pStyle w:val="Normal"/>
              <w:rPr/>
            </w:pPr>
            <w:r>
              <w:rPr/>
            </w:r>
          </w:p>
        </w:tc>
      </w:tr>
      <w:tr>
        <w:trPr>
          <w:trHeight w:val="1231"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6032" w:type="dxa"/>
            <w:tcBorders>
              <w:top w:val="single" w:sz="12" w:space="0" w:color="FFFFFF"/>
              <w:left w:val="single" w:sz="12" w:space="0" w:color="FFFFFF"/>
              <w:bottom w:val="single" w:sz="12" w:space="0" w:color="FFFFFF"/>
            </w:tcBorders>
            <w:shd w:color="auto" w:fill="ECF1FA" w:val="clear"/>
            <w:vAlign w:val="center"/>
          </w:tcPr>
          <w:p>
            <w:pPr>
              <w:pStyle w:val="Normal"/>
              <w:pBdr/>
              <w:spacing w:lineRule="auto" w:line="264"/>
              <w:ind w:left="910" w:right="114" w:hanging="435"/>
              <w:jc w:val="both"/>
              <w:rPr>
                <w:color w:val="000000"/>
                <w:sz w:val="20"/>
                <w:szCs w:val="20"/>
              </w:rPr>
            </w:pPr>
            <w:r>
              <w:rPr>
                <w:rFonts w:eastAsia="Tahoma" w:cs="Tahoma" w:ascii="Tahoma" w:hAnsi="Tahoma"/>
                <w:b/>
                <w:color w:val="000000"/>
                <w:sz w:val="20"/>
                <w:szCs w:val="20"/>
              </w:rPr>
              <w:t xml:space="preserve">3.3. </w:t>
            </w:r>
            <w:r>
              <w:rPr>
                <w:rFonts w:eastAsia="Lexend Light" w:cs="Lexend Light" w:ascii="Lexend Light" w:hAnsi="Lexend Light"/>
                <w:color w:val="382263"/>
              </w:rPr>
              <w:t>Subsanación de documentación administrativa y recepción de solicitudes o aclaraciones sobre el listado de entidades con proyectos habilitados, no habilitados y por subsanar</w:t>
            </w:r>
          </w:p>
        </w:tc>
        <w:tc>
          <w:tcPr>
            <w:tcW w:w="2668" w:type="dxa"/>
            <w:gridSpan w:val="2"/>
            <w:tcBorders>
              <w:top w:val="single" w:sz="12" w:space="0" w:color="FFFFFF"/>
              <w:bottom w:val="single" w:sz="12" w:space="0" w:color="FFFFFF"/>
              <w:right w:val="single" w:sz="12" w:space="0" w:color="FFFFFF"/>
            </w:tcBorders>
            <w:shd w:color="auto" w:fill="FAFAFD" w:val="clear"/>
            <w:vAlign w:val="center"/>
          </w:tcPr>
          <w:p>
            <w:pPr>
              <w:pStyle w:val="Normal"/>
              <w:pBdr/>
              <w:spacing w:lineRule="auto" w:line="232"/>
              <w:ind w:left="124" w:hanging="0"/>
              <w:rPr>
                <w:rFonts w:ascii="Lexend Light" w:hAnsi="Lexend Light" w:eastAsia="Lexend Light" w:cs="Lexend Light"/>
                <w:color w:val="382263"/>
              </w:rPr>
            </w:pPr>
            <w:r>
              <w:rPr>
                <w:rFonts w:eastAsia="Lexend Light" w:cs="Lexend Light" w:ascii="Lexend Light" w:hAnsi="Lexend Light"/>
                <w:color w:val="382263"/>
              </w:rPr>
            </w:r>
          </w:p>
          <w:p>
            <w:pPr>
              <w:pStyle w:val="Normal"/>
              <w:pBdr/>
              <w:spacing w:lineRule="auto" w:line="232"/>
              <w:ind w:left="124" w:hanging="0"/>
              <w:rPr>
                <w:rFonts w:ascii="Lexend Light" w:hAnsi="Lexend Light" w:eastAsia="Lexend Light" w:cs="Lexend Light"/>
                <w:color w:val="382263"/>
              </w:rPr>
            </w:pPr>
            <w:r>
              <w:rPr>
                <w:rFonts w:eastAsia="Lexend Light" w:cs="Lexend Light" w:ascii="Lexend Light" w:hAnsi="Lexend Light"/>
                <w:color w:val="382263"/>
              </w:rPr>
              <w:t>2 al 06 de diciembre de 2024</w:t>
            </w:r>
          </w:p>
        </w:tc>
        <w:tc>
          <w:tcPr>
            <w:tcW w:w="28" w:type="dxa"/>
            <w:tcBorders/>
            <w:shd w:fill="auto" w:val="clear"/>
          </w:tcPr>
          <w:p>
            <w:pPr>
              <w:pStyle w:val="Normal"/>
              <w:rPr/>
            </w:pPr>
            <w:r>
              <w:rPr/>
            </w:r>
          </w:p>
        </w:tc>
      </w:tr>
      <w:tr>
        <w:trPr>
          <w:trHeight w:val="1210"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6032" w:type="dxa"/>
            <w:tcBorders>
              <w:top w:val="single" w:sz="12" w:space="0" w:color="FFFFFF"/>
              <w:left w:val="single" w:sz="12" w:space="0" w:color="FFFFFF"/>
              <w:bottom w:val="single" w:sz="12" w:space="0" w:color="FFFFFF"/>
            </w:tcBorders>
            <w:shd w:color="auto" w:fill="ECF1FA" w:val="clear"/>
            <w:vAlign w:val="center"/>
          </w:tcPr>
          <w:p>
            <w:pPr>
              <w:pStyle w:val="Normal"/>
              <w:pBdr/>
              <w:spacing w:lineRule="auto" w:line="264"/>
              <w:ind w:left="910" w:right="115" w:hanging="435"/>
              <w:jc w:val="both"/>
              <w:rPr>
                <w:color w:val="000000"/>
                <w:sz w:val="20"/>
                <w:szCs w:val="20"/>
              </w:rPr>
            </w:pPr>
            <w:r>
              <w:rPr>
                <w:rFonts w:eastAsia="Tahoma" w:cs="Tahoma" w:ascii="Tahoma" w:hAnsi="Tahoma"/>
                <w:b/>
                <w:color w:val="000000"/>
                <w:sz w:val="20"/>
                <w:szCs w:val="20"/>
              </w:rPr>
              <w:t xml:space="preserve">3.4. </w:t>
            </w:r>
            <w:r>
              <w:rPr>
                <w:rFonts w:eastAsia="Lexend Light" w:cs="Lexend Light" w:ascii="Lexend Light" w:hAnsi="Lexend Light"/>
                <w:color w:val="382263"/>
              </w:rPr>
              <w:t>Veriﬁcación de documentación administrativa subsanada y respuesta a solicitudes o aclaraciones sobre el listado de entidades con proyectos habilitados, no habilitados y por subsanar</w:t>
            </w:r>
          </w:p>
        </w:tc>
        <w:tc>
          <w:tcPr>
            <w:tcW w:w="2668" w:type="dxa"/>
            <w:gridSpan w:val="2"/>
            <w:tcBorders>
              <w:top w:val="single" w:sz="12" w:space="0" w:color="FFFFFF"/>
              <w:bottom w:val="single" w:sz="12" w:space="0" w:color="FFFFFF"/>
              <w:right w:val="single" w:sz="12" w:space="0" w:color="FFFFFF"/>
            </w:tcBorders>
            <w:shd w:color="auto" w:fill="FAFAFD" w:val="clear"/>
            <w:vAlign w:val="center"/>
          </w:tcPr>
          <w:p>
            <w:pPr>
              <w:pStyle w:val="Normal"/>
              <w:pBdr/>
              <w:spacing w:lineRule="auto" w:line="232"/>
              <w:ind w:left="124" w:hanging="0"/>
              <w:rPr>
                <w:rFonts w:ascii="Lexend Light" w:hAnsi="Lexend Light" w:eastAsia="Lexend Light" w:cs="Lexend Light"/>
                <w:color w:val="382263"/>
              </w:rPr>
            </w:pPr>
            <w:r>
              <w:rPr>
                <w:rFonts w:eastAsia="Lexend Light" w:cs="Lexend Light" w:ascii="Lexend Light" w:hAnsi="Lexend Light"/>
                <w:color w:val="382263"/>
              </w:rPr>
            </w:r>
          </w:p>
          <w:p>
            <w:pPr>
              <w:pStyle w:val="Normal"/>
              <w:pBdr/>
              <w:spacing w:lineRule="auto" w:line="232"/>
              <w:ind w:left="124" w:hanging="0"/>
              <w:rPr>
                <w:rFonts w:ascii="Lexend Light" w:hAnsi="Lexend Light" w:eastAsia="Lexend Light" w:cs="Lexend Light"/>
                <w:color w:val="382263"/>
              </w:rPr>
            </w:pPr>
            <w:r>
              <w:rPr>
                <w:rFonts w:eastAsia="Lexend Light" w:cs="Lexend Light" w:ascii="Lexend Light" w:hAnsi="Lexend Light"/>
                <w:color w:val="382263"/>
              </w:rPr>
              <w:t>07 al 17 de diciembre de</w:t>
            </w:r>
          </w:p>
          <w:p>
            <w:pPr>
              <w:pStyle w:val="Normal"/>
              <w:pBdr/>
              <w:spacing w:lineRule="auto" w:line="232"/>
              <w:ind w:left="124" w:hanging="0"/>
              <w:rPr>
                <w:rFonts w:ascii="Lexend Light" w:hAnsi="Lexend Light" w:eastAsia="Lexend Light" w:cs="Lexend Light"/>
                <w:color w:val="382263"/>
              </w:rPr>
            </w:pPr>
            <w:r>
              <w:rPr>
                <w:rFonts w:eastAsia="Lexend Light" w:cs="Lexend Light" w:ascii="Lexend Light" w:hAnsi="Lexend Light"/>
                <w:color w:val="382263"/>
              </w:rPr>
              <w:t>2024</w:t>
            </w:r>
          </w:p>
        </w:tc>
        <w:tc>
          <w:tcPr>
            <w:tcW w:w="28" w:type="dxa"/>
            <w:tcBorders/>
            <w:shd w:fill="auto" w:val="clear"/>
          </w:tcPr>
          <w:p>
            <w:pPr>
              <w:pStyle w:val="Normal"/>
              <w:rPr/>
            </w:pPr>
            <w:r>
              <w:rPr/>
            </w:r>
          </w:p>
        </w:tc>
      </w:tr>
      <w:tr>
        <w:trPr>
          <w:trHeight w:val="690"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6032" w:type="dxa"/>
            <w:tcBorders>
              <w:top w:val="single" w:sz="12" w:space="0" w:color="FFFFFF"/>
              <w:left w:val="single" w:sz="12" w:space="0" w:color="FFFFFF"/>
              <w:bottom w:val="single" w:sz="12" w:space="0" w:color="FFFFFF"/>
            </w:tcBorders>
            <w:shd w:color="auto" w:fill="ECF1FA" w:val="clear"/>
            <w:vAlign w:val="center"/>
          </w:tcPr>
          <w:p>
            <w:pPr>
              <w:pStyle w:val="Normal"/>
              <w:pBdr/>
              <w:spacing w:lineRule="auto" w:line="264" w:before="7" w:after="0"/>
              <w:ind w:left="910" w:hanging="435"/>
              <w:rPr>
                <w:color w:val="000000"/>
                <w:sz w:val="20"/>
                <w:szCs w:val="20"/>
              </w:rPr>
            </w:pPr>
            <w:r>
              <w:rPr>
                <w:rFonts w:eastAsia="Tahoma" w:cs="Tahoma" w:ascii="Tahoma" w:hAnsi="Tahoma"/>
                <w:b/>
                <w:color w:val="000000"/>
                <w:sz w:val="20"/>
                <w:szCs w:val="20"/>
              </w:rPr>
              <w:t xml:space="preserve">3.5. </w:t>
            </w:r>
            <w:r>
              <w:rPr>
                <w:rFonts w:eastAsia="Lexend Light" w:cs="Lexend Light" w:ascii="Lexend Light" w:hAnsi="Lexend Light"/>
                <w:color w:val="382263"/>
              </w:rPr>
              <w:t>Publicación del listado deﬁnitivo de entidades con proyectos habilitados y no habilitados</w:t>
            </w:r>
          </w:p>
        </w:tc>
        <w:tc>
          <w:tcPr>
            <w:tcW w:w="2668" w:type="dxa"/>
            <w:gridSpan w:val="2"/>
            <w:tcBorders>
              <w:top w:val="single" w:sz="12" w:space="0" w:color="FFFFFF"/>
              <w:bottom w:val="single" w:sz="12" w:space="0" w:color="FFFFFF"/>
              <w:right w:val="single" w:sz="12" w:space="0" w:color="FFFFFF"/>
            </w:tcBorders>
            <w:shd w:color="auto" w:fill="FAFAFD" w:val="clear"/>
            <w:vAlign w:val="center"/>
          </w:tcPr>
          <w:p>
            <w:pPr>
              <w:pStyle w:val="Normal"/>
              <w:pBdr/>
              <w:spacing w:before="142" w:after="0"/>
              <w:ind w:left="124" w:hanging="0"/>
              <w:rPr>
                <w:rFonts w:ascii="Lexend" w:hAnsi="Lexend" w:eastAsia="Lexend" w:cs="Lexend"/>
                <w:b/>
                <w:b/>
                <w:color w:val="382263"/>
              </w:rPr>
            </w:pPr>
            <w:r>
              <w:rPr>
                <w:rFonts w:eastAsia="Lexend" w:cs="Lexend" w:ascii="Lexend" w:hAnsi="Lexend"/>
                <w:b/>
                <w:color w:val="382263"/>
              </w:rPr>
              <w:t>19 de diciembre de 2024</w:t>
            </w:r>
          </w:p>
        </w:tc>
        <w:tc>
          <w:tcPr>
            <w:tcW w:w="28" w:type="dxa"/>
            <w:tcBorders/>
            <w:shd w:fill="auto" w:val="clear"/>
          </w:tcPr>
          <w:p>
            <w:pPr>
              <w:pStyle w:val="Normal"/>
              <w:rPr/>
            </w:pPr>
            <w:r>
              <w:rPr/>
            </w:r>
          </w:p>
        </w:tc>
      </w:tr>
      <w:tr>
        <w:trPr>
          <w:trHeight w:val="951"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6032" w:type="dxa"/>
            <w:tcBorders>
              <w:top w:val="single" w:sz="12" w:space="0" w:color="FFFFFF"/>
              <w:left w:val="single" w:sz="12" w:space="0" w:color="FFFFFF"/>
              <w:bottom w:val="single" w:sz="12" w:space="0" w:color="FFFFFF"/>
            </w:tcBorders>
            <w:shd w:color="auto" w:fill="ECF1FA" w:val="clear"/>
            <w:vAlign w:val="center"/>
          </w:tcPr>
          <w:p>
            <w:pPr>
              <w:pStyle w:val="Normal"/>
              <w:pBdr/>
              <w:spacing w:lineRule="auto" w:line="264" w:before="2" w:after="0"/>
              <w:ind w:left="910" w:right="122" w:hanging="435"/>
              <w:jc w:val="both"/>
              <w:rPr>
                <w:color w:val="000000"/>
                <w:sz w:val="20"/>
                <w:szCs w:val="20"/>
              </w:rPr>
            </w:pPr>
            <w:r>
              <w:rPr>
                <w:rFonts w:eastAsia="Tahoma" w:cs="Tahoma" w:ascii="Tahoma" w:hAnsi="Tahoma"/>
                <w:b/>
                <w:color w:val="000000"/>
                <w:sz w:val="20"/>
                <w:szCs w:val="20"/>
              </w:rPr>
              <w:t>3.6.</w:t>
            </w:r>
            <w:r>
              <w:rPr>
                <w:rFonts w:eastAsia="Tahoma" w:cs="Tahoma" w:ascii="Tahoma" w:hAnsi="Tahoma"/>
                <w:b/>
                <w:sz w:val="20"/>
                <w:szCs w:val="20"/>
              </w:rPr>
              <w:t xml:space="preserve"> </w:t>
            </w:r>
            <w:r>
              <w:rPr>
                <w:rFonts w:eastAsia="Lexend Light" w:cs="Lexend Light" w:ascii="Lexend Light" w:hAnsi="Lexend Light"/>
                <w:color w:val="382263"/>
              </w:rPr>
              <w:t>Recepción y respuesta a solicitudes o aclaraciones sobre el listado deﬁnitivo de entidades con proyectos habilitados y no habilitados</w:t>
            </w:r>
          </w:p>
        </w:tc>
        <w:tc>
          <w:tcPr>
            <w:tcW w:w="2668" w:type="dxa"/>
            <w:gridSpan w:val="2"/>
            <w:tcBorders>
              <w:top w:val="single" w:sz="12" w:space="0" w:color="FFFFFF"/>
              <w:bottom w:val="single" w:sz="12" w:space="0" w:color="FFFFFF"/>
              <w:right w:val="single" w:sz="12" w:space="0" w:color="FFFFFF"/>
            </w:tcBorders>
            <w:shd w:color="auto" w:fill="FAFAFD" w:val="clear"/>
            <w:vAlign w:val="center"/>
          </w:tcPr>
          <w:p>
            <w:pPr>
              <w:pStyle w:val="Normal"/>
              <w:pBdr/>
              <w:spacing w:before="137" w:after="0"/>
              <w:ind w:left="124" w:hanging="0"/>
              <w:rPr>
                <w:rFonts w:ascii="Lexend Light" w:hAnsi="Lexend Light" w:eastAsia="Lexend Light" w:cs="Lexend Light"/>
                <w:color w:val="382263"/>
              </w:rPr>
            </w:pPr>
            <w:r>
              <w:rPr>
                <w:rFonts w:eastAsia="Lexend Light" w:cs="Lexend Light" w:ascii="Lexend Light" w:hAnsi="Lexend Light"/>
                <w:color w:val="382263"/>
              </w:rPr>
              <w:t>20 al 24 de diciembre de</w:t>
            </w:r>
          </w:p>
          <w:p>
            <w:pPr>
              <w:pStyle w:val="Normal"/>
              <w:pBdr/>
              <w:spacing w:before="26" w:after="0"/>
              <w:ind w:left="124" w:hanging="0"/>
              <w:rPr>
                <w:rFonts w:ascii="Lexend Light" w:hAnsi="Lexend Light" w:eastAsia="Lexend Light" w:cs="Lexend Light"/>
                <w:color w:val="382263"/>
              </w:rPr>
            </w:pPr>
            <w:r>
              <w:rPr>
                <w:rFonts w:eastAsia="Lexend Light" w:cs="Lexend Light" w:ascii="Lexend Light" w:hAnsi="Lexend Light"/>
                <w:color w:val="382263"/>
              </w:rPr>
              <w:t>2024</w:t>
            </w:r>
          </w:p>
        </w:tc>
        <w:tc>
          <w:tcPr>
            <w:tcW w:w="28" w:type="dxa"/>
            <w:tcBorders/>
            <w:shd w:fill="auto" w:val="clear"/>
          </w:tcPr>
          <w:p>
            <w:pPr>
              <w:pStyle w:val="Normal"/>
              <w:rPr/>
            </w:pPr>
            <w:r>
              <w:rPr/>
            </w:r>
          </w:p>
        </w:tc>
      </w:tr>
      <w:tr>
        <w:trPr>
          <w:trHeight w:val="429"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8700" w:type="dxa"/>
            <w:gridSpan w:val="3"/>
            <w:tcBorders>
              <w:top w:val="single" w:sz="12" w:space="0" w:color="FFFFFF"/>
              <w:left w:val="single" w:sz="12" w:space="0" w:color="FFFFFF"/>
              <w:bottom w:val="single" w:sz="12" w:space="0" w:color="FFFFFF"/>
              <w:right w:val="single" w:sz="12" w:space="0" w:color="FFFFFF"/>
            </w:tcBorders>
            <w:shd w:color="auto" w:fill="A144E7" w:val="clear"/>
            <w:vAlign w:val="center"/>
          </w:tcPr>
          <w:p>
            <w:pPr>
              <w:pStyle w:val="Normal"/>
              <w:pBdr/>
              <w:spacing w:before="7" w:after="0"/>
              <w:ind w:left="115" w:hanging="0"/>
              <w:rPr>
                <w:rFonts w:ascii="Lexend" w:hAnsi="Lexend" w:eastAsia="Lexend" w:cs="Lexend"/>
                <w:color w:val="000000"/>
              </w:rPr>
            </w:pPr>
            <w:r>
              <w:rPr>
                <w:rFonts w:eastAsia="Tahoma" w:cs="Tahoma" w:ascii="Tahoma" w:hAnsi="Tahoma"/>
                <w:b/>
                <w:color w:val="FFFFFF"/>
                <w:sz w:val="20"/>
                <w:szCs w:val="20"/>
              </w:rPr>
              <w:t>4.</w:t>
            </w:r>
            <w:r>
              <w:rPr>
                <w:rFonts w:eastAsia="Lexend" w:cs="Lexend" w:ascii="Lexend" w:hAnsi="Lexend"/>
                <w:b/>
                <w:color w:val="FFFFFF"/>
              </w:rPr>
              <w:t xml:space="preserve"> </w:t>
            </w:r>
            <w:r>
              <w:rPr>
                <w:rFonts w:eastAsia="Lexend" w:cs="Lexend" w:ascii="Lexend" w:hAnsi="Lexend"/>
                <w:color w:val="FFFFFF"/>
              </w:rPr>
              <w:t>Veriﬁcación de la idoneidad administrativa de las entidades participantes</w:t>
            </w:r>
          </w:p>
        </w:tc>
        <w:tc>
          <w:tcPr>
            <w:tcW w:w="28" w:type="dxa"/>
            <w:tcBorders/>
            <w:shd w:fill="auto" w:val="clear"/>
          </w:tcPr>
          <w:p>
            <w:pPr>
              <w:pStyle w:val="Normal"/>
              <w:rPr/>
            </w:pPr>
            <w:r>
              <w:rPr/>
            </w:r>
          </w:p>
        </w:tc>
      </w:tr>
      <w:tr>
        <w:trPr>
          <w:trHeight w:val="670"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Tahoma" w:hAnsi="Tahoma" w:eastAsia="Tahoma" w:cs="Tahoma"/>
                <w:b/>
                <w:b/>
                <w:color w:val="000000"/>
                <w:sz w:val="20"/>
                <w:szCs w:val="20"/>
              </w:rPr>
            </w:pPr>
            <w:r>
              <w:rPr>
                <w:rFonts w:eastAsia="Tahoma" w:cs="Tahoma" w:ascii="Tahoma" w:hAnsi="Tahoma"/>
                <w:b/>
                <w:color w:val="000000"/>
                <w:sz w:val="20"/>
                <w:szCs w:val="20"/>
              </w:rPr>
            </w:r>
          </w:p>
        </w:tc>
        <w:tc>
          <w:tcPr>
            <w:tcW w:w="6032" w:type="dxa"/>
            <w:tcBorders>
              <w:top w:val="single" w:sz="12" w:space="0" w:color="FFFFFF"/>
              <w:left w:val="single" w:sz="12" w:space="0" w:color="FFFFFF"/>
              <w:bottom w:val="single" w:sz="12" w:space="0" w:color="FFFFFF"/>
              <w:right w:val="single" w:sz="12" w:space="0" w:color="FFFFFF"/>
            </w:tcBorders>
            <w:shd w:color="auto" w:fill="ECF1FA" w:val="clear"/>
            <w:vAlign w:val="center"/>
          </w:tcPr>
          <w:p>
            <w:pPr>
              <w:pStyle w:val="Normal"/>
              <w:pBdr/>
              <w:tabs>
                <w:tab w:val="clear" w:pos="720"/>
                <w:tab w:val="left" w:pos="2229" w:leader="none"/>
                <w:tab w:val="left" w:pos="2716" w:leader="none"/>
                <w:tab w:val="left" w:pos="4203" w:leader="none"/>
                <w:tab w:val="left" w:pos="4646" w:leader="none"/>
              </w:tabs>
              <w:spacing w:lineRule="auto" w:line="264"/>
              <w:ind w:left="910" w:right="112" w:hanging="435"/>
              <w:rPr>
                <w:color w:val="000000"/>
                <w:sz w:val="20"/>
                <w:szCs w:val="20"/>
              </w:rPr>
            </w:pPr>
            <w:r>
              <w:rPr>
                <w:rFonts w:eastAsia="Tahoma" w:cs="Tahoma" w:ascii="Tahoma" w:hAnsi="Tahoma"/>
                <w:b/>
                <w:color w:val="000000"/>
                <w:sz w:val="20"/>
                <w:szCs w:val="20"/>
              </w:rPr>
              <w:t xml:space="preserve">4.1. </w:t>
            </w:r>
            <w:r>
              <w:rPr>
                <w:rFonts w:eastAsia="Lexend Light" w:cs="Lexend Light" w:ascii="Lexend Light" w:hAnsi="Lexend Light"/>
                <w:color w:val="382263"/>
              </w:rPr>
              <w:t>Veriﬁcación</w:t>
              <w:tab/>
              <w:t>del</w:t>
              <w:tab/>
              <w:t>cumplimiento</w:t>
              <w:tab/>
              <w:t>de</w:t>
              <w:tab/>
              <w:t>la idoneidad administrativa de las entidades participantes</w:t>
            </w:r>
          </w:p>
        </w:tc>
        <w:tc>
          <w:tcPr>
            <w:tcW w:w="2668" w:type="dxa"/>
            <w:gridSpan w:val="2"/>
            <w:tcBorders>
              <w:top w:val="single" w:sz="12" w:space="0" w:color="FFFFFF"/>
              <w:left w:val="single" w:sz="12" w:space="0" w:color="FFFFFF"/>
              <w:bottom w:val="single" w:sz="12" w:space="0" w:color="FFFFFF"/>
              <w:right w:val="single" w:sz="12" w:space="0" w:color="FFFFFF"/>
            </w:tcBorders>
            <w:shd w:color="auto" w:fill="FAFAFD" w:val="clear"/>
            <w:vAlign w:val="center"/>
          </w:tcPr>
          <w:p>
            <w:pPr>
              <w:pStyle w:val="Normal"/>
              <w:pBdr/>
              <w:spacing w:lineRule="auto" w:line="232"/>
              <w:ind w:left="94" w:hanging="0"/>
              <w:rPr>
                <w:rFonts w:ascii="Lexend Light" w:hAnsi="Lexend Light" w:eastAsia="Lexend Light" w:cs="Lexend Light"/>
                <w:color w:val="382263"/>
              </w:rPr>
            </w:pPr>
            <w:r>
              <w:rPr>
                <w:rFonts w:eastAsia="Lexend Light" w:cs="Lexend Light" w:ascii="Lexend Light" w:hAnsi="Lexend Light"/>
                <w:color w:val="382263"/>
              </w:rPr>
              <w:t>24 de diciembre de 2024 al 08 de enero de 2025</w:t>
            </w:r>
          </w:p>
        </w:tc>
        <w:tc>
          <w:tcPr>
            <w:tcW w:w="28" w:type="dxa"/>
            <w:tcBorders/>
            <w:shd w:fill="auto" w:val="clear"/>
          </w:tcPr>
          <w:p>
            <w:pPr>
              <w:pStyle w:val="Normal"/>
              <w:rPr/>
            </w:pPr>
            <w:r>
              <w:rPr/>
            </w:r>
          </w:p>
        </w:tc>
      </w:tr>
      <w:tr>
        <w:trPr>
          <w:trHeight w:val="628"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6032" w:type="dxa"/>
            <w:tcBorders>
              <w:top w:val="single" w:sz="12" w:space="0" w:color="FFFFFF"/>
              <w:left w:val="single" w:sz="12" w:space="0" w:color="FFFFFF"/>
              <w:bottom w:val="single" w:sz="12" w:space="0" w:color="FFFFFF"/>
              <w:right w:val="single" w:sz="12" w:space="0" w:color="FFFFFF"/>
            </w:tcBorders>
            <w:shd w:color="auto" w:fill="ECF1FA" w:val="clear"/>
            <w:vAlign w:val="center"/>
          </w:tcPr>
          <w:p>
            <w:pPr>
              <w:pStyle w:val="Normal"/>
              <w:pBdr/>
              <w:spacing w:lineRule="auto" w:line="264" w:before="6" w:after="0"/>
              <w:ind w:left="910" w:right="100" w:hanging="435"/>
              <w:jc w:val="both"/>
              <w:rPr>
                <w:color w:val="000000"/>
                <w:sz w:val="20"/>
                <w:szCs w:val="20"/>
              </w:rPr>
            </w:pPr>
            <w:r>
              <w:rPr>
                <w:rFonts w:eastAsia="Tahoma" w:cs="Tahoma" w:ascii="Tahoma" w:hAnsi="Tahoma"/>
                <w:b/>
                <w:color w:val="000000"/>
                <w:sz w:val="20"/>
                <w:szCs w:val="20"/>
              </w:rPr>
              <w:t xml:space="preserve">4.2. </w:t>
            </w:r>
            <w:r>
              <w:rPr>
                <w:rFonts w:eastAsia="Lexend Light" w:cs="Lexend Light" w:ascii="Lexend Light" w:hAnsi="Lexend Light"/>
                <w:color w:val="382263"/>
              </w:rPr>
              <w:t>Publicación del listado del cumplimiento de la idoneidad administrativa de las entidades participantes</w:t>
            </w:r>
          </w:p>
        </w:tc>
        <w:tc>
          <w:tcPr>
            <w:tcW w:w="2668" w:type="dxa"/>
            <w:gridSpan w:val="2"/>
            <w:tcBorders>
              <w:top w:val="single" w:sz="12" w:space="0" w:color="FFFFFF"/>
              <w:left w:val="single" w:sz="12" w:space="0" w:color="FFFFFF"/>
              <w:bottom w:val="single" w:sz="12" w:space="0" w:color="FFFFFF"/>
              <w:right w:val="single" w:sz="12" w:space="0" w:color="FFFFFF"/>
            </w:tcBorders>
            <w:shd w:color="auto" w:fill="FAFAFD" w:val="clear"/>
            <w:vAlign w:val="center"/>
          </w:tcPr>
          <w:p>
            <w:pPr>
              <w:pStyle w:val="Normal"/>
              <w:pBdr/>
              <w:spacing w:before="10" w:after="0"/>
              <w:rPr>
                <w:rFonts w:ascii="Lexend Light" w:hAnsi="Lexend Light" w:eastAsia="Lexend Light" w:cs="Lexend Light"/>
                <w:color w:val="382263"/>
              </w:rPr>
            </w:pPr>
            <w:r>
              <w:rPr>
                <w:rFonts w:eastAsia="Lexend Light" w:cs="Lexend Light" w:ascii="Lexend Light" w:hAnsi="Lexend Light"/>
                <w:color w:val="382263"/>
              </w:rPr>
            </w:r>
          </w:p>
          <w:p>
            <w:pPr>
              <w:pStyle w:val="Normal"/>
              <w:pBdr/>
              <w:ind w:left="94" w:hanging="0"/>
              <w:rPr>
                <w:rFonts w:ascii="Lexend" w:hAnsi="Lexend" w:eastAsia="Lexend" w:cs="Lexend"/>
                <w:b/>
                <w:b/>
                <w:color w:val="382263"/>
              </w:rPr>
            </w:pPr>
            <w:r>
              <w:rPr>
                <w:rFonts w:eastAsia="Lexend" w:cs="Lexend" w:ascii="Lexend" w:hAnsi="Lexend"/>
                <w:b/>
                <w:color w:val="382263"/>
              </w:rPr>
              <w:t>10 de enero de 2025</w:t>
            </w:r>
          </w:p>
        </w:tc>
        <w:tc>
          <w:tcPr>
            <w:tcW w:w="28" w:type="dxa"/>
            <w:tcBorders/>
            <w:shd w:fill="auto" w:val="clear"/>
          </w:tcPr>
          <w:p>
            <w:pPr>
              <w:pStyle w:val="Normal"/>
              <w:rPr/>
            </w:pPr>
            <w:r>
              <w:rPr/>
            </w:r>
          </w:p>
        </w:tc>
      </w:tr>
      <w:tr>
        <w:trPr>
          <w:trHeight w:val="1024"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6032" w:type="dxa"/>
            <w:tcBorders>
              <w:top w:val="single" w:sz="12" w:space="0" w:color="FFFFFF"/>
              <w:left w:val="single" w:sz="12" w:space="0" w:color="FFFFFF"/>
              <w:bottom w:val="single" w:sz="12" w:space="0" w:color="FFFFFF"/>
              <w:right w:val="single" w:sz="12" w:space="0" w:color="FFFFFF"/>
            </w:tcBorders>
            <w:shd w:color="auto" w:fill="ECF1FA" w:val="clear"/>
            <w:vAlign w:val="center"/>
          </w:tcPr>
          <w:p>
            <w:pPr>
              <w:pStyle w:val="Normal"/>
              <w:pBdr/>
              <w:spacing w:lineRule="auto" w:line="264"/>
              <w:ind w:left="934" w:right="107" w:hanging="434"/>
              <w:jc w:val="both"/>
              <w:rPr>
                <w:color w:val="000000"/>
                <w:sz w:val="20"/>
                <w:szCs w:val="20"/>
              </w:rPr>
            </w:pPr>
            <w:r>
              <w:rPr>
                <w:rFonts w:eastAsia="Tahoma" w:cs="Tahoma" w:ascii="Tahoma" w:hAnsi="Tahoma"/>
                <w:b/>
                <w:color w:val="000000"/>
                <w:sz w:val="20"/>
                <w:szCs w:val="20"/>
              </w:rPr>
              <w:t xml:space="preserve">4.3. </w:t>
            </w:r>
            <w:r>
              <w:rPr>
                <w:rFonts w:eastAsia="Lexend Light" w:cs="Lexend Light" w:ascii="Lexend Light" w:hAnsi="Lexend Light"/>
                <w:color w:val="382263"/>
              </w:rPr>
              <w:t>Recepción y respuesta a solicitudes o aclaraciones sobre el listado del cumplimiento de la idoneidad administrativa de las entidades participantes</w:t>
            </w:r>
          </w:p>
        </w:tc>
        <w:tc>
          <w:tcPr>
            <w:tcW w:w="2668" w:type="dxa"/>
            <w:gridSpan w:val="2"/>
            <w:tcBorders>
              <w:top w:val="single" w:sz="12" w:space="0" w:color="FFFFFF"/>
              <w:left w:val="single" w:sz="12" w:space="0" w:color="FFFFFF"/>
              <w:bottom w:val="single" w:sz="12" w:space="0" w:color="FFFFFF"/>
              <w:right w:val="single" w:sz="12" w:space="0" w:color="FFFFFF"/>
            </w:tcBorders>
            <w:shd w:color="auto" w:fill="FAFAFD" w:val="clear"/>
            <w:vAlign w:val="center"/>
          </w:tcPr>
          <w:p>
            <w:pPr>
              <w:pStyle w:val="Normal"/>
              <w:pBdr/>
              <w:spacing w:lineRule="auto" w:line="264"/>
              <w:ind w:left="109" w:right="106" w:hanging="15"/>
              <w:rPr>
                <w:rFonts w:ascii="Lexend Light" w:hAnsi="Lexend Light" w:eastAsia="Lexend Light" w:cs="Lexend Light"/>
                <w:color w:val="382263"/>
              </w:rPr>
            </w:pPr>
            <w:r>
              <w:rPr>
                <w:rFonts w:eastAsia="Lexend Light" w:cs="Lexend Light" w:ascii="Lexend Light" w:hAnsi="Lexend Light"/>
                <w:color w:val="382263"/>
              </w:rPr>
              <w:t>13 al 15 de enero de 2025</w:t>
            </w:r>
          </w:p>
        </w:tc>
        <w:tc>
          <w:tcPr>
            <w:tcW w:w="28" w:type="dxa"/>
            <w:tcBorders/>
            <w:shd w:fill="auto" w:val="clear"/>
          </w:tcPr>
          <w:p>
            <w:pPr>
              <w:pStyle w:val="Normal"/>
              <w:rPr/>
            </w:pPr>
            <w:r>
              <w:rPr/>
            </w:r>
          </w:p>
        </w:tc>
      </w:tr>
      <w:tr>
        <w:trPr>
          <w:trHeight w:val="409"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8700" w:type="dxa"/>
            <w:gridSpan w:val="3"/>
            <w:tcBorders>
              <w:top w:val="single" w:sz="12" w:space="0" w:color="FFFFFF"/>
              <w:left w:val="single" w:sz="12" w:space="0" w:color="FFFFFF"/>
              <w:bottom w:val="single" w:sz="12" w:space="0" w:color="FFFFFF"/>
              <w:right w:val="single" w:sz="12" w:space="0" w:color="FFFFFF"/>
            </w:tcBorders>
            <w:shd w:color="auto" w:fill="A144E7" w:val="clear"/>
            <w:vAlign w:val="center"/>
          </w:tcPr>
          <w:p>
            <w:pPr>
              <w:pStyle w:val="Normal"/>
              <w:pBdr/>
              <w:spacing w:lineRule="auto" w:line="237"/>
              <w:ind w:left="115" w:hanging="0"/>
              <w:rPr>
                <w:rFonts w:ascii="Lexend" w:hAnsi="Lexend" w:eastAsia="Lexend" w:cs="Lexend"/>
                <w:color w:val="000000"/>
              </w:rPr>
            </w:pPr>
            <w:r>
              <w:rPr>
                <w:rFonts w:eastAsia="Tahoma" w:cs="Tahoma" w:ascii="Tahoma" w:hAnsi="Tahoma"/>
                <w:b/>
                <w:color w:val="FFFFFF"/>
                <w:sz w:val="20"/>
                <w:szCs w:val="20"/>
              </w:rPr>
              <w:t>5.</w:t>
            </w:r>
            <w:r>
              <w:rPr>
                <w:rFonts w:eastAsia="Lexend" w:cs="Lexend" w:ascii="Lexend" w:hAnsi="Lexend"/>
                <w:color w:val="FFFFFF"/>
              </w:rPr>
              <w:t xml:space="preserve"> Evaluación técnica de los proyectos habilitados y sustentación</w:t>
            </w:r>
          </w:p>
        </w:tc>
        <w:tc>
          <w:tcPr>
            <w:tcW w:w="28" w:type="dxa"/>
            <w:tcBorders/>
            <w:shd w:fill="auto" w:val="clear"/>
          </w:tcPr>
          <w:p>
            <w:pPr>
              <w:pStyle w:val="Normal"/>
              <w:rPr/>
            </w:pPr>
            <w:r>
              <w:rPr/>
            </w:r>
          </w:p>
        </w:tc>
      </w:tr>
      <w:tr>
        <w:trPr>
          <w:trHeight w:val="518"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Tahoma" w:hAnsi="Tahoma" w:eastAsia="Tahoma" w:cs="Tahoma"/>
                <w:b/>
                <w:b/>
                <w:color w:val="000000"/>
                <w:sz w:val="20"/>
                <w:szCs w:val="20"/>
              </w:rPr>
            </w:pPr>
            <w:r>
              <w:rPr>
                <w:rFonts w:eastAsia="Tahoma" w:cs="Tahoma" w:ascii="Tahoma" w:hAnsi="Tahoma"/>
                <w:b/>
                <w:color w:val="000000"/>
                <w:sz w:val="20"/>
                <w:szCs w:val="20"/>
              </w:rPr>
            </w:r>
          </w:p>
        </w:tc>
        <w:tc>
          <w:tcPr>
            <w:tcW w:w="6032" w:type="dxa"/>
            <w:tcBorders>
              <w:top w:val="single" w:sz="12" w:space="0" w:color="FFFFFF"/>
              <w:left w:val="single" w:sz="12" w:space="0" w:color="FFFFFF"/>
              <w:bottom w:val="single" w:sz="12" w:space="0" w:color="FFFFFF"/>
              <w:right w:val="single" w:sz="12" w:space="0" w:color="FFFFFF"/>
            </w:tcBorders>
            <w:shd w:color="auto" w:fill="ECF1FA" w:val="clear"/>
            <w:vAlign w:val="center"/>
          </w:tcPr>
          <w:p>
            <w:pPr>
              <w:pStyle w:val="Normal"/>
              <w:pBdr/>
              <w:spacing w:lineRule="auto" w:line="264"/>
              <w:ind w:left="934" w:right="107" w:hanging="434"/>
              <w:jc w:val="both"/>
              <w:rPr>
                <w:rFonts w:ascii="Tahoma" w:hAnsi="Tahoma" w:eastAsia="Tahoma" w:cs="Tahoma"/>
                <w:b/>
                <w:b/>
                <w:color w:val="FFFFFF"/>
                <w:sz w:val="20"/>
                <w:szCs w:val="20"/>
              </w:rPr>
            </w:pPr>
            <w:r>
              <w:rPr>
                <w:rFonts w:eastAsia="Tahoma" w:cs="Tahoma" w:ascii="Tahoma" w:hAnsi="Tahoma"/>
                <w:b/>
                <w:color w:val="000000"/>
                <w:sz w:val="20"/>
                <w:szCs w:val="20"/>
              </w:rPr>
              <w:t xml:space="preserve">5.1. </w:t>
            </w:r>
            <w:r>
              <w:rPr>
                <w:rFonts w:eastAsia="Lexend Light" w:cs="Lexend Light" w:ascii="Lexend Light" w:hAnsi="Lexend Light"/>
                <w:color w:val="382263"/>
              </w:rPr>
              <w:t>Evaluación técnica de los proyectos habilitados</w:t>
            </w:r>
          </w:p>
        </w:tc>
        <w:tc>
          <w:tcPr>
            <w:tcW w:w="2668" w:type="dxa"/>
            <w:gridSpan w:val="2"/>
            <w:tcBorders>
              <w:top w:val="single" w:sz="12" w:space="0" w:color="FFFFFF"/>
              <w:left w:val="single" w:sz="12" w:space="0" w:color="FFFFFF"/>
              <w:bottom w:val="single" w:sz="12" w:space="0" w:color="FFFFFF"/>
              <w:right w:val="single" w:sz="12" w:space="0" w:color="FFFFFF"/>
            </w:tcBorders>
            <w:shd w:color="auto" w:fill="FAFAFD" w:val="clear"/>
            <w:vAlign w:val="center"/>
          </w:tcPr>
          <w:p>
            <w:pPr>
              <w:pStyle w:val="Normal"/>
              <w:pBdr/>
              <w:ind w:left="128" w:hanging="0"/>
              <w:rPr>
                <w:rFonts w:ascii="Lexend Light" w:hAnsi="Lexend Light" w:eastAsia="Lexend Light" w:cs="Lexend Light"/>
                <w:color w:val="382263"/>
              </w:rPr>
            </w:pPr>
            <w:r>
              <w:rPr>
                <w:rFonts w:eastAsia="Lexend Light" w:cs="Lexend Light" w:ascii="Lexend Light" w:hAnsi="Lexend Light"/>
                <w:color w:val="382263"/>
              </w:rPr>
              <w:t>15 de enero de 2025</w:t>
            </w:r>
          </w:p>
          <w:p>
            <w:pPr>
              <w:pStyle w:val="Normal"/>
              <w:pBdr/>
              <w:spacing w:lineRule="auto" w:line="264"/>
              <w:ind w:left="109" w:right="106" w:hanging="15"/>
              <w:rPr>
                <w:rFonts w:ascii="Tahoma" w:hAnsi="Tahoma" w:eastAsia="Tahoma" w:cs="Tahoma"/>
                <w:b/>
                <w:b/>
                <w:color w:val="FFFFFF"/>
                <w:sz w:val="20"/>
                <w:szCs w:val="20"/>
              </w:rPr>
            </w:pPr>
            <w:r>
              <w:rPr>
                <w:rFonts w:eastAsia="Lexend Light" w:cs="Lexend Light" w:ascii="Lexend Light" w:hAnsi="Lexend Light"/>
                <w:color w:val="382263"/>
              </w:rPr>
              <w:t>al 17 de febrero de 2025</w:t>
            </w:r>
          </w:p>
        </w:tc>
        <w:tc>
          <w:tcPr>
            <w:tcW w:w="28" w:type="dxa"/>
            <w:tcBorders/>
            <w:shd w:fill="auto" w:val="clear"/>
          </w:tcPr>
          <w:p>
            <w:pPr>
              <w:pStyle w:val="Normal"/>
              <w:rPr/>
            </w:pPr>
            <w:r>
              <w:rPr/>
            </w:r>
          </w:p>
        </w:tc>
      </w:tr>
      <w:tr>
        <w:trPr>
          <w:trHeight w:val="518"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Tahoma" w:hAnsi="Tahoma" w:eastAsia="Tahoma" w:cs="Tahoma"/>
                <w:b/>
                <w:b/>
                <w:color w:val="FFFFFF"/>
                <w:sz w:val="20"/>
                <w:szCs w:val="20"/>
              </w:rPr>
            </w:pPr>
            <w:r>
              <w:rPr>
                <w:rFonts w:eastAsia="Tahoma" w:cs="Tahoma" w:ascii="Tahoma" w:hAnsi="Tahoma"/>
                <w:b/>
                <w:color w:val="FFFFFF"/>
                <w:sz w:val="20"/>
                <w:szCs w:val="20"/>
              </w:rPr>
            </w:r>
          </w:p>
        </w:tc>
        <w:tc>
          <w:tcPr>
            <w:tcW w:w="6032" w:type="dxa"/>
            <w:tcBorders>
              <w:top w:val="single" w:sz="12" w:space="0" w:color="FFFFFF"/>
              <w:left w:val="single" w:sz="12" w:space="0" w:color="FFFFFF"/>
              <w:bottom w:val="single" w:sz="12" w:space="0" w:color="FFFFFF"/>
              <w:right w:val="single" w:sz="12" w:space="0" w:color="FFFFFF"/>
            </w:tcBorders>
            <w:shd w:color="auto" w:fill="ECF1FA" w:val="clear"/>
            <w:vAlign w:val="center"/>
          </w:tcPr>
          <w:p>
            <w:pPr>
              <w:pStyle w:val="Normal"/>
              <w:pBdr/>
              <w:spacing w:lineRule="auto" w:line="264"/>
              <w:ind w:left="934" w:right="107" w:hanging="434"/>
              <w:jc w:val="both"/>
              <w:rPr>
                <w:rFonts w:ascii="Tahoma" w:hAnsi="Tahoma" w:eastAsia="Tahoma" w:cs="Tahoma"/>
                <w:b/>
                <w:b/>
                <w:color w:val="000000"/>
                <w:sz w:val="20"/>
                <w:szCs w:val="20"/>
              </w:rPr>
            </w:pPr>
            <w:r>
              <w:rPr>
                <w:rFonts w:eastAsia="Tahoma" w:cs="Tahoma" w:ascii="Tahoma" w:hAnsi="Tahoma"/>
                <w:b/>
                <w:color w:val="000000"/>
                <w:sz w:val="20"/>
                <w:szCs w:val="20"/>
              </w:rPr>
              <w:t xml:space="preserve">5.2. </w:t>
            </w:r>
            <w:r>
              <w:rPr>
                <w:rFonts w:eastAsia="Lexend Light" w:cs="Lexend Light" w:ascii="Lexend Light" w:hAnsi="Lexend Light"/>
                <w:color w:val="382263"/>
              </w:rPr>
              <w:t>Publicación del listado de entidades con proyectos llamados a sustentar</w:t>
            </w:r>
          </w:p>
        </w:tc>
        <w:tc>
          <w:tcPr>
            <w:tcW w:w="2668" w:type="dxa"/>
            <w:gridSpan w:val="2"/>
            <w:tcBorders>
              <w:top w:val="single" w:sz="12" w:space="0" w:color="FFFFFF"/>
              <w:left w:val="single" w:sz="12" w:space="0" w:color="FFFFFF"/>
              <w:bottom w:val="single" w:sz="12" w:space="0" w:color="FFFFFF"/>
              <w:right w:val="single" w:sz="12" w:space="0" w:color="FFFFFF"/>
            </w:tcBorders>
            <w:shd w:color="auto" w:fill="FAFAFD" w:val="clear"/>
            <w:vAlign w:val="center"/>
          </w:tcPr>
          <w:p>
            <w:pPr>
              <w:pStyle w:val="Normal"/>
              <w:pBdr/>
              <w:ind w:left="128" w:hanging="0"/>
              <w:rPr>
                <w:rFonts w:ascii="Lexend" w:hAnsi="Lexend" w:eastAsia="Lexend" w:cs="Lexend"/>
                <w:b/>
                <w:b/>
                <w:color w:val="382263"/>
              </w:rPr>
            </w:pPr>
            <w:r>
              <w:rPr>
                <w:rFonts w:eastAsia="Lexend" w:cs="Lexend" w:ascii="Lexend" w:hAnsi="Lexend"/>
                <w:b/>
                <w:color w:val="382263"/>
              </w:rPr>
              <w:t>19 de febrero de 2025</w:t>
            </w:r>
          </w:p>
        </w:tc>
        <w:tc>
          <w:tcPr>
            <w:tcW w:w="28" w:type="dxa"/>
            <w:tcBorders/>
            <w:shd w:fill="auto" w:val="clear"/>
          </w:tcPr>
          <w:p>
            <w:pPr>
              <w:pStyle w:val="Normal"/>
              <w:rPr/>
            </w:pPr>
            <w:r>
              <w:rPr/>
            </w:r>
          </w:p>
        </w:tc>
      </w:tr>
      <w:tr>
        <w:trPr>
          <w:trHeight w:val="518"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6032" w:type="dxa"/>
            <w:tcBorders>
              <w:top w:val="single" w:sz="12" w:space="0" w:color="FFFFFF"/>
              <w:left w:val="single" w:sz="12" w:space="0" w:color="FFFFFF"/>
              <w:bottom w:val="single" w:sz="12" w:space="0" w:color="FFFFFF"/>
              <w:right w:val="single" w:sz="12" w:space="0" w:color="FFFFFF"/>
            </w:tcBorders>
            <w:shd w:color="auto" w:fill="ECF1FA" w:val="clear"/>
            <w:vAlign w:val="center"/>
          </w:tcPr>
          <w:p>
            <w:pPr>
              <w:pStyle w:val="Normal"/>
              <w:pBdr/>
              <w:spacing w:lineRule="auto" w:line="264"/>
              <w:ind w:left="934" w:right="107" w:hanging="434"/>
              <w:jc w:val="both"/>
              <w:rPr>
                <w:rFonts w:ascii="Tahoma" w:hAnsi="Tahoma" w:eastAsia="Tahoma" w:cs="Tahoma"/>
                <w:b/>
                <w:b/>
                <w:color w:val="000000"/>
                <w:sz w:val="20"/>
                <w:szCs w:val="20"/>
              </w:rPr>
            </w:pPr>
            <w:bookmarkStart w:id="10" w:name="_heading=h.3znysh7"/>
            <w:bookmarkEnd w:id="10"/>
            <w:r>
              <w:rPr>
                <w:rFonts w:eastAsia="Tahoma" w:cs="Tahoma" w:ascii="Tahoma" w:hAnsi="Tahoma"/>
                <w:b/>
                <w:color w:val="000000"/>
                <w:sz w:val="20"/>
                <w:szCs w:val="20"/>
              </w:rPr>
              <w:t xml:space="preserve">5.3. </w:t>
            </w:r>
            <w:r>
              <w:rPr>
                <w:rFonts w:eastAsia="Lexend Light" w:cs="Lexend Light" w:ascii="Lexend Light" w:hAnsi="Lexend Light"/>
                <w:color w:val="382263"/>
              </w:rPr>
              <w:t>Recepción y respuesta a solicitudes o aclaraciones sobre el listado de entidades con proyectos llamados a sustentar</w:t>
            </w:r>
          </w:p>
        </w:tc>
        <w:tc>
          <w:tcPr>
            <w:tcW w:w="2668" w:type="dxa"/>
            <w:gridSpan w:val="2"/>
            <w:tcBorders>
              <w:top w:val="single" w:sz="12" w:space="0" w:color="FFFFFF"/>
              <w:left w:val="single" w:sz="12" w:space="0" w:color="FFFFFF"/>
              <w:bottom w:val="single" w:sz="12" w:space="0" w:color="FFFFFF"/>
              <w:right w:val="single" w:sz="12" w:space="0" w:color="FFFFFF"/>
            </w:tcBorders>
            <w:shd w:color="auto" w:fill="FAFAFD" w:val="clear"/>
            <w:vAlign w:val="center"/>
          </w:tcPr>
          <w:p>
            <w:pPr>
              <w:pStyle w:val="Normal"/>
              <w:pBdr/>
              <w:ind w:left="128" w:hanging="0"/>
              <w:rPr>
                <w:rFonts w:ascii="Lexend Light" w:hAnsi="Lexend Light" w:eastAsia="Lexend Light" w:cs="Lexend Light"/>
                <w:color w:val="382263"/>
              </w:rPr>
            </w:pPr>
            <w:r>
              <w:rPr>
                <w:rFonts w:eastAsia="Lexend Light" w:cs="Lexend Light" w:ascii="Lexend Light" w:hAnsi="Lexend Light"/>
                <w:color w:val="382263"/>
              </w:rPr>
              <w:t>20 al 24 de febrero de 2025</w:t>
            </w:r>
          </w:p>
        </w:tc>
        <w:tc>
          <w:tcPr>
            <w:tcW w:w="28" w:type="dxa"/>
            <w:tcBorders/>
            <w:shd w:fill="auto" w:val="clear"/>
          </w:tcPr>
          <w:p>
            <w:pPr>
              <w:pStyle w:val="Normal"/>
              <w:rPr/>
            </w:pPr>
            <w:r>
              <w:rPr/>
            </w:r>
          </w:p>
        </w:tc>
      </w:tr>
      <w:tr>
        <w:trPr>
          <w:trHeight w:val="518"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6032" w:type="dxa"/>
            <w:tcBorders>
              <w:top w:val="single" w:sz="12" w:space="0" w:color="FFFFFF"/>
              <w:left w:val="single" w:sz="12" w:space="0" w:color="FFFFFF"/>
              <w:bottom w:val="single" w:sz="12" w:space="0" w:color="FFFFFF"/>
              <w:right w:val="single" w:sz="12" w:space="0" w:color="FFFFFF"/>
            </w:tcBorders>
            <w:shd w:color="auto" w:fill="ECF1FA" w:val="clear"/>
            <w:vAlign w:val="center"/>
          </w:tcPr>
          <w:p>
            <w:pPr>
              <w:pStyle w:val="Normal"/>
              <w:pBdr/>
              <w:spacing w:lineRule="auto" w:line="264"/>
              <w:ind w:left="934" w:right="107" w:hanging="434"/>
              <w:jc w:val="both"/>
              <w:rPr>
                <w:rFonts w:ascii="Tahoma" w:hAnsi="Tahoma" w:eastAsia="Tahoma" w:cs="Tahoma"/>
                <w:b/>
                <w:b/>
                <w:color w:val="000000"/>
                <w:sz w:val="20"/>
                <w:szCs w:val="20"/>
              </w:rPr>
            </w:pPr>
            <w:r>
              <w:rPr>
                <w:rFonts w:eastAsia="Tahoma" w:cs="Tahoma" w:ascii="Tahoma" w:hAnsi="Tahoma"/>
                <w:b/>
                <w:color w:val="000000"/>
                <w:sz w:val="20"/>
                <w:szCs w:val="20"/>
              </w:rPr>
              <w:t xml:space="preserve">5.4. </w:t>
            </w:r>
            <w:r>
              <w:rPr>
                <w:rFonts w:eastAsia="Lexend Light" w:cs="Lexend Light" w:ascii="Lexend Light" w:hAnsi="Lexend Light"/>
                <w:color w:val="382263"/>
              </w:rPr>
              <w:t>Jornadas de sustentación</w:t>
            </w:r>
          </w:p>
        </w:tc>
        <w:tc>
          <w:tcPr>
            <w:tcW w:w="2668" w:type="dxa"/>
            <w:gridSpan w:val="2"/>
            <w:tcBorders>
              <w:top w:val="single" w:sz="12" w:space="0" w:color="FFFFFF"/>
              <w:left w:val="single" w:sz="12" w:space="0" w:color="FFFFFF"/>
              <w:bottom w:val="single" w:sz="12" w:space="0" w:color="FFFFFF"/>
              <w:right w:val="single" w:sz="12" w:space="0" w:color="FFFFFF"/>
            </w:tcBorders>
            <w:shd w:color="auto" w:fill="FAFAFD" w:val="clear"/>
            <w:vAlign w:val="center"/>
          </w:tcPr>
          <w:p>
            <w:pPr>
              <w:pStyle w:val="Normal"/>
              <w:pBdr/>
              <w:spacing w:lineRule="auto" w:line="228"/>
              <w:ind w:left="128" w:hanging="0"/>
              <w:rPr>
                <w:rFonts w:ascii="Lexend Light" w:hAnsi="Lexend Light" w:eastAsia="Lexend Light" w:cs="Lexend Light"/>
                <w:color w:val="382263"/>
              </w:rPr>
            </w:pPr>
            <w:r>
              <w:rPr>
                <w:rFonts w:eastAsia="Lexend Light" w:cs="Lexend Light" w:ascii="Lexend Light" w:hAnsi="Lexend Light"/>
                <w:color w:val="382263"/>
              </w:rPr>
              <w:t>25 de febrero al 06 de marzo de 2025</w:t>
            </w:r>
          </w:p>
        </w:tc>
        <w:tc>
          <w:tcPr>
            <w:tcW w:w="28" w:type="dxa"/>
            <w:tcBorders/>
            <w:shd w:fill="auto" w:val="clear"/>
          </w:tcPr>
          <w:p>
            <w:pPr>
              <w:pStyle w:val="Normal"/>
              <w:rPr/>
            </w:pPr>
            <w:r>
              <w:rPr/>
            </w:r>
          </w:p>
        </w:tc>
      </w:tr>
      <w:tr>
        <w:trPr>
          <w:trHeight w:val="410"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8700" w:type="dxa"/>
            <w:gridSpan w:val="3"/>
            <w:tcBorders>
              <w:top w:val="single" w:sz="12" w:space="0" w:color="FFFFFF"/>
              <w:left w:val="single" w:sz="12" w:space="0" w:color="FFFFFF"/>
              <w:bottom w:val="single" w:sz="12" w:space="0" w:color="FFFFFF"/>
              <w:right w:val="single" w:sz="12" w:space="0" w:color="FFFFFF"/>
            </w:tcBorders>
            <w:shd w:color="auto" w:fill="A144E7" w:val="clear"/>
            <w:vAlign w:val="center"/>
          </w:tcPr>
          <w:p>
            <w:pPr>
              <w:pStyle w:val="Normal"/>
              <w:pBdr/>
              <w:ind w:left="115" w:hanging="0"/>
              <w:rPr>
                <w:rFonts w:ascii="Lexend" w:hAnsi="Lexend" w:eastAsia="Lexend" w:cs="Lexend"/>
                <w:color w:val="000000"/>
              </w:rPr>
            </w:pPr>
            <w:r>
              <w:rPr>
                <w:rFonts w:eastAsia="Lexend" w:cs="Lexend" w:ascii="Lexend" w:hAnsi="Lexend"/>
                <w:color w:val="FFFFFF"/>
              </w:rPr>
              <w:t>6. Publicación del listado de proyectos elegibles</w:t>
            </w:r>
          </w:p>
        </w:tc>
        <w:tc>
          <w:tcPr>
            <w:tcW w:w="28" w:type="dxa"/>
            <w:tcBorders/>
            <w:shd w:fill="auto" w:val="clear"/>
          </w:tcPr>
          <w:p>
            <w:pPr>
              <w:pStyle w:val="Normal"/>
              <w:rPr/>
            </w:pPr>
            <w:r>
              <w:rPr/>
            </w:r>
          </w:p>
        </w:tc>
      </w:tr>
      <w:tr>
        <w:trPr>
          <w:trHeight w:val="518"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Tahoma" w:hAnsi="Tahoma" w:eastAsia="Tahoma" w:cs="Tahoma"/>
                <w:b/>
                <w:b/>
                <w:color w:val="000000"/>
                <w:sz w:val="20"/>
                <w:szCs w:val="20"/>
              </w:rPr>
            </w:pPr>
            <w:r>
              <w:rPr>
                <w:rFonts w:eastAsia="Tahoma" w:cs="Tahoma" w:ascii="Tahoma" w:hAnsi="Tahoma"/>
                <w:b/>
                <w:color w:val="000000"/>
                <w:sz w:val="20"/>
                <w:szCs w:val="20"/>
              </w:rPr>
            </w:r>
          </w:p>
        </w:tc>
        <w:tc>
          <w:tcPr>
            <w:tcW w:w="6032" w:type="dxa"/>
            <w:tcBorders>
              <w:top w:val="single" w:sz="12" w:space="0" w:color="FFFFFF"/>
              <w:left w:val="single" w:sz="12" w:space="0" w:color="FFFFFF"/>
              <w:bottom w:val="single" w:sz="12" w:space="0" w:color="FFFFFF"/>
              <w:right w:val="single" w:sz="12" w:space="0" w:color="FFFFFF"/>
            </w:tcBorders>
            <w:shd w:color="auto" w:fill="ECF1FA" w:val="clear"/>
            <w:vAlign w:val="center"/>
          </w:tcPr>
          <w:p>
            <w:pPr>
              <w:pStyle w:val="Normal"/>
              <w:pBdr/>
              <w:spacing w:lineRule="auto" w:line="264"/>
              <w:ind w:left="934" w:right="107" w:hanging="434"/>
              <w:jc w:val="both"/>
              <w:rPr>
                <w:rFonts w:ascii="Tahoma" w:hAnsi="Tahoma" w:eastAsia="Tahoma" w:cs="Tahoma"/>
                <w:b/>
                <w:b/>
                <w:color w:val="000000"/>
                <w:sz w:val="20"/>
                <w:szCs w:val="20"/>
              </w:rPr>
            </w:pPr>
            <w:r>
              <w:rPr>
                <w:rFonts w:eastAsia="Tahoma" w:cs="Tahoma" w:ascii="Tahoma" w:hAnsi="Tahoma"/>
                <w:b/>
                <w:color w:val="000000"/>
                <w:sz w:val="20"/>
                <w:szCs w:val="20"/>
              </w:rPr>
              <w:t xml:space="preserve">6.1. </w:t>
            </w:r>
            <w:r>
              <w:rPr>
                <w:rFonts w:eastAsia="Lexend Light" w:cs="Lexend Light" w:ascii="Lexend Light" w:hAnsi="Lexend Light"/>
                <w:color w:val="382263"/>
              </w:rPr>
              <w:t>Publicación del listado de proyectos elegibles y no elegibles</w:t>
            </w:r>
          </w:p>
        </w:tc>
        <w:tc>
          <w:tcPr>
            <w:tcW w:w="2668" w:type="dxa"/>
            <w:gridSpan w:val="2"/>
            <w:tcBorders>
              <w:top w:val="single" w:sz="12" w:space="0" w:color="FFFFFF"/>
              <w:left w:val="single" w:sz="12" w:space="0" w:color="FFFFFF"/>
              <w:bottom w:val="single" w:sz="12" w:space="0" w:color="FFFFFF"/>
              <w:right w:val="single" w:sz="12" w:space="0" w:color="FFFFFF"/>
            </w:tcBorders>
            <w:shd w:color="auto" w:fill="FAFAFD" w:val="clear"/>
            <w:vAlign w:val="center"/>
          </w:tcPr>
          <w:p>
            <w:pPr>
              <w:pStyle w:val="Normal"/>
              <w:pBdr/>
              <w:spacing w:lineRule="auto" w:line="228"/>
              <w:ind w:left="128" w:hanging="0"/>
              <w:rPr>
                <w:rFonts w:ascii="Lexend" w:hAnsi="Lexend" w:eastAsia="Lexend" w:cs="Lexend"/>
                <w:b/>
                <w:b/>
                <w:color w:val="382263"/>
              </w:rPr>
            </w:pPr>
            <w:r>
              <w:rPr>
                <w:rFonts w:eastAsia="Lexend" w:cs="Lexend" w:ascii="Lexend" w:hAnsi="Lexend"/>
                <w:b/>
                <w:color w:val="382263"/>
              </w:rPr>
              <w:t>11 de marzo de 2025</w:t>
            </w:r>
          </w:p>
        </w:tc>
        <w:tc>
          <w:tcPr>
            <w:tcW w:w="28" w:type="dxa"/>
            <w:tcBorders/>
            <w:shd w:fill="auto" w:val="clear"/>
          </w:tcPr>
          <w:p>
            <w:pPr>
              <w:pStyle w:val="Normal"/>
              <w:rPr/>
            </w:pPr>
            <w:r>
              <w:rPr/>
            </w:r>
          </w:p>
        </w:tc>
      </w:tr>
      <w:tr>
        <w:trPr>
          <w:trHeight w:val="518"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6032" w:type="dxa"/>
            <w:tcBorders>
              <w:top w:val="single" w:sz="12" w:space="0" w:color="FFFFFF"/>
              <w:left w:val="single" w:sz="12" w:space="0" w:color="FFFFFF"/>
              <w:bottom w:val="single" w:sz="12" w:space="0" w:color="FFFFFF"/>
              <w:right w:val="single" w:sz="12" w:space="0" w:color="FFFFFF"/>
            </w:tcBorders>
            <w:shd w:color="auto" w:fill="ECF1FA" w:val="clear"/>
            <w:vAlign w:val="center"/>
          </w:tcPr>
          <w:p>
            <w:pPr>
              <w:pStyle w:val="Normal"/>
              <w:pBdr/>
              <w:spacing w:lineRule="auto" w:line="264"/>
              <w:ind w:left="934" w:right="107" w:hanging="434"/>
              <w:jc w:val="both"/>
              <w:rPr>
                <w:rFonts w:ascii="Tahoma" w:hAnsi="Tahoma" w:eastAsia="Tahoma" w:cs="Tahoma"/>
                <w:b/>
                <w:b/>
                <w:color w:val="000000"/>
                <w:sz w:val="20"/>
                <w:szCs w:val="20"/>
              </w:rPr>
            </w:pPr>
            <w:r>
              <w:rPr>
                <w:rFonts w:eastAsia="Tahoma" w:cs="Tahoma" w:ascii="Tahoma" w:hAnsi="Tahoma"/>
                <w:b/>
                <w:color w:val="000000"/>
                <w:sz w:val="20"/>
                <w:szCs w:val="20"/>
              </w:rPr>
              <w:t>6.2.</w:t>
            </w:r>
            <w:r>
              <w:rPr>
                <w:rFonts w:eastAsia="Tahoma" w:cs="Tahoma" w:ascii="Tahoma" w:hAnsi="Tahoma"/>
                <w:b/>
                <w:sz w:val="20"/>
                <w:szCs w:val="20"/>
              </w:rPr>
              <w:t xml:space="preserve"> </w:t>
            </w:r>
            <w:r>
              <w:rPr>
                <w:rFonts w:eastAsia="Lexend Light" w:cs="Lexend Light" w:ascii="Lexend Light" w:hAnsi="Lexend Light"/>
                <w:color w:val="382263"/>
              </w:rPr>
              <w:t>Recepción y respuesta a solicitudes o aclaraciones sobre el listado de proyectos elegibles y no elegibles</w:t>
            </w:r>
          </w:p>
        </w:tc>
        <w:tc>
          <w:tcPr>
            <w:tcW w:w="2668" w:type="dxa"/>
            <w:gridSpan w:val="2"/>
            <w:tcBorders>
              <w:top w:val="single" w:sz="12" w:space="0" w:color="FFFFFF"/>
              <w:left w:val="single" w:sz="12" w:space="0" w:color="FFFFFF"/>
              <w:bottom w:val="single" w:sz="12" w:space="0" w:color="FFFFFF"/>
              <w:right w:val="single" w:sz="12" w:space="0" w:color="FFFFFF"/>
            </w:tcBorders>
            <w:shd w:color="auto" w:fill="FAFAFD" w:val="clear"/>
            <w:vAlign w:val="center"/>
          </w:tcPr>
          <w:p>
            <w:pPr>
              <w:pStyle w:val="Normal"/>
              <w:pBdr/>
              <w:spacing w:lineRule="auto" w:line="228"/>
              <w:ind w:left="128" w:hanging="0"/>
              <w:rPr>
                <w:rFonts w:ascii="Lexend Light" w:hAnsi="Lexend Light" w:eastAsia="Lexend Light" w:cs="Lexend Light"/>
                <w:color w:val="382263"/>
              </w:rPr>
            </w:pPr>
            <w:r>
              <w:rPr>
                <w:rFonts w:eastAsia="Lexend Light" w:cs="Lexend Light" w:ascii="Lexend Light" w:hAnsi="Lexend Light"/>
                <w:color w:val="382263"/>
              </w:rPr>
              <w:t>12 al 14 de marzo de 2025</w:t>
            </w:r>
          </w:p>
        </w:tc>
        <w:tc>
          <w:tcPr>
            <w:tcW w:w="28" w:type="dxa"/>
            <w:tcBorders/>
            <w:shd w:fill="auto" w:val="clear"/>
          </w:tcPr>
          <w:p>
            <w:pPr>
              <w:pStyle w:val="Normal"/>
              <w:rPr/>
            </w:pPr>
            <w:r>
              <w:rPr/>
            </w:r>
          </w:p>
        </w:tc>
      </w:tr>
      <w:tr>
        <w:trPr>
          <w:trHeight w:val="410"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8700" w:type="dxa"/>
            <w:gridSpan w:val="3"/>
            <w:tcBorders>
              <w:top w:val="single" w:sz="12" w:space="0" w:color="FFFFFF"/>
              <w:left w:val="single" w:sz="12" w:space="0" w:color="FFFFFF"/>
              <w:bottom w:val="single" w:sz="12" w:space="0" w:color="FFFFFF"/>
              <w:right w:val="single" w:sz="12" w:space="0" w:color="FFFFFF"/>
            </w:tcBorders>
            <w:shd w:color="auto" w:fill="A144E7" w:val="clear"/>
            <w:vAlign w:val="center"/>
          </w:tcPr>
          <w:p>
            <w:pPr>
              <w:pStyle w:val="Normal"/>
              <w:pBdr/>
              <w:tabs>
                <w:tab w:val="clear" w:pos="720"/>
                <w:tab w:val="left" w:pos="475" w:leader="none"/>
              </w:tabs>
              <w:spacing w:before="4" w:after="0"/>
              <w:ind w:left="115" w:hanging="0"/>
              <w:rPr>
                <w:rFonts w:ascii="Lexend" w:hAnsi="Lexend" w:eastAsia="Lexend" w:cs="Lexend"/>
                <w:color w:val="000000"/>
              </w:rPr>
            </w:pPr>
            <w:r>
              <w:rPr>
                <w:rFonts w:eastAsia="Tahoma" w:cs="Tahoma" w:ascii="Tahoma" w:hAnsi="Tahoma"/>
                <w:b/>
                <w:color w:val="FFFFFF"/>
                <w:sz w:val="20"/>
                <w:szCs w:val="20"/>
              </w:rPr>
              <w:t>7</w:t>
            </w:r>
            <w:r>
              <w:rPr>
                <w:rFonts w:eastAsia="Lexend" w:cs="Lexend" w:ascii="Lexend" w:hAnsi="Lexend"/>
                <w:color w:val="FFFFFF"/>
              </w:rPr>
              <w:t>.</w:t>
              <w:tab/>
              <w:t>Asignación y publicación del listado de proyectos con recursos asignados</w:t>
            </w:r>
          </w:p>
        </w:tc>
        <w:tc>
          <w:tcPr>
            <w:tcW w:w="28" w:type="dxa"/>
            <w:tcBorders/>
            <w:shd w:fill="auto" w:val="clear"/>
          </w:tcPr>
          <w:p>
            <w:pPr>
              <w:pStyle w:val="Normal"/>
              <w:rPr/>
            </w:pPr>
            <w:r>
              <w:rPr/>
            </w:r>
          </w:p>
        </w:tc>
      </w:tr>
      <w:tr>
        <w:trPr>
          <w:trHeight w:val="624"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Tahoma" w:hAnsi="Tahoma" w:eastAsia="Tahoma" w:cs="Tahoma"/>
                <w:b/>
                <w:b/>
                <w:color w:val="000000"/>
                <w:sz w:val="20"/>
                <w:szCs w:val="20"/>
              </w:rPr>
            </w:pPr>
            <w:r>
              <w:rPr>
                <w:rFonts w:eastAsia="Tahoma" w:cs="Tahoma" w:ascii="Tahoma" w:hAnsi="Tahoma"/>
                <w:b/>
                <w:color w:val="000000"/>
                <w:sz w:val="20"/>
                <w:szCs w:val="20"/>
              </w:rPr>
            </w:r>
          </w:p>
        </w:tc>
        <w:tc>
          <w:tcPr>
            <w:tcW w:w="6032" w:type="dxa"/>
            <w:tcBorders>
              <w:top w:val="single" w:sz="12" w:space="0" w:color="FFFFFF"/>
              <w:left w:val="single" w:sz="12" w:space="0" w:color="FFFFFF"/>
              <w:bottom w:val="single" w:sz="12" w:space="0" w:color="FFFFFF"/>
              <w:right w:val="single" w:sz="12" w:space="0" w:color="FFFFFF"/>
            </w:tcBorders>
            <w:shd w:color="auto" w:fill="ECF1FA" w:val="clear"/>
            <w:vAlign w:val="center"/>
          </w:tcPr>
          <w:p>
            <w:pPr>
              <w:pStyle w:val="Normal"/>
              <w:pBdr/>
              <w:spacing w:lineRule="auto" w:line="264"/>
              <w:ind w:left="934" w:right="107" w:hanging="434"/>
              <w:jc w:val="both"/>
              <w:rPr>
                <w:rFonts w:ascii="Tahoma" w:hAnsi="Tahoma" w:eastAsia="Tahoma" w:cs="Tahoma"/>
                <w:b/>
                <w:b/>
                <w:color w:val="000000"/>
                <w:sz w:val="20"/>
                <w:szCs w:val="20"/>
              </w:rPr>
            </w:pPr>
            <w:r>
              <w:rPr>
                <w:rFonts w:eastAsia="Tahoma" w:cs="Tahoma" w:ascii="Tahoma" w:hAnsi="Tahoma"/>
                <w:b/>
                <w:color w:val="000000"/>
                <w:sz w:val="20"/>
                <w:szCs w:val="20"/>
              </w:rPr>
              <w:t xml:space="preserve">7.1. </w:t>
            </w:r>
            <w:r>
              <w:rPr>
                <w:rFonts w:eastAsia="Lexend Light" w:cs="Lexend Light" w:ascii="Lexend Light" w:hAnsi="Lexend Light"/>
                <w:color w:val="382263"/>
              </w:rPr>
              <w:t>Publicación del listado de proyectos con recursos asignados</w:t>
            </w:r>
          </w:p>
        </w:tc>
        <w:tc>
          <w:tcPr>
            <w:tcW w:w="2668" w:type="dxa"/>
            <w:gridSpan w:val="2"/>
            <w:tcBorders>
              <w:top w:val="single" w:sz="12" w:space="0" w:color="FFFFFF"/>
              <w:left w:val="single" w:sz="12" w:space="0" w:color="FFFFFF"/>
              <w:bottom w:val="single" w:sz="12" w:space="0" w:color="FFFFFF"/>
              <w:right w:val="single" w:sz="12" w:space="0" w:color="FFFFFF"/>
            </w:tcBorders>
            <w:shd w:color="auto" w:fill="FAFAFD" w:val="clear"/>
            <w:vAlign w:val="center"/>
          </w:tcPr>
          <w:p>
            <w:pPr>
              <w:pStyle w:val="Normal"/>
              <w:pBdr/>
              <w:spacing w:lineRule="auto" w:line="228"/>
              <w:ind w:left="128" w:hanging="0"/>
              <w:rPr>
                <w:rFonts w:ascii="Lexend" w:hAnsi="Lexend" w:eastAsia="Lexend" w:cs="Lexend"/>
                <w:b/>
                <w:b/>
                <w:color w:val="382263"/>
              </w:rPr>
            </w:pPr>
            <w:r>
              <w:rPr>
                <w:rFonts w:eastAsia="Lexend" w:cs="Lexend" w:ascii="Lexend" w:hAnsi="Lexend"/>
                <w:b/>
                <w:color w:val="382263"/>
              </w:rPr>
              <w:t>21 de marzo de 2025</w:t>
            </w:r>
          </w:p>
        </w:tc>
        <w:tc>
          <w:tcPr>
            <w:tcW w:w="28" w:type="dxa"/>
            <w:tcBorders/>
            <w:shd w:fill="auto" w:val="clear"/>
          </w:tcPr>
          <w:p>
            <w:pPr>
              <w:pStyle w:val="Normal"/>
              <w:rPr/>
            </w:pPr>
            <w:r>
              <w:rPr/>
            </w:r>
          </w:p>
        </w:tc>
      </w:tr>
      <w:tr>
        <w:trPr>
          <w:trHeight w:val="518" w:hRule="atLeast"/>
        </w:trPr>
        <w:tc>
          <w:tcPr>
            <w:tcW w:w="50" w:type="dxa"/>
            <w:tcBorders>
              <w:top w:val="single" w:sz="12" w:space="0" w:color="FFFFFF"/>
              <w:left w:val="single" w:sz="12" w:space="0" w:color="FFFFFF"/>
              <w:bottom w:val="single" w:sz="12" w:space="0" w:color="FFFFFF"/>
              <w:right w:val="single" w:sz="12" w:space="0" w:color="FFFFFF"/>
            </w:tcBorders>
            <w:shd w:fill="auto" w:val="clear"/>
          </w:tcPr>
          <w:p>
            <w:pPr>
              <w:pStyle w:val="Normal"/>
              <w:pBdr/>
              <w:spacing w:lineRule="auto" w:line="276"/>
              <w:rPr>
                <w:rFonts w:ascii="Lexend Light" w:hAnsi="Lexend Light" w:eastAsia="Lexend Light" w:cs="Lexend Light"/>
                <w:color w:val="382263"/>
              </w:rPr>
            </w:pPr>
            <w:r>
              <w:rPr>
                <w:rFonts w:eastAsia="Lexend Light" w:cs="Lexend Light" w:ascii="Lexend Light" w:hAnsi="Lexend Light"/>
                <w:color w:val="382263"/>
              </w:rPr>
            </w:r>
          </w:p>
        </w:tc>
        <w:tc>
          <w:tcPr>
            <w:tcW w:w="6032" w:type="dxa"/>
            <w:tcBorders>
              <w:top w:val="single" w:sz="12" w:space="0" w:color="FFFFFF"/>
              <w:left w:val="single" w:sz="12" w:space="0" w:color="FFFFFF"/>
              <w:bottom w:val="single" w:sz="12" w:space="0" w:color="FFFFFF"/>
              <w:right w:val="single" w:sz="12" w:space="0" w:color="FFFFFF"/>
            </w:tcBorders>
            <w:shd w:color="auto" w:fill="ECF1FA" w:val="clear"/>
            <w:vAlign w:val="center"/>
          </w:tcPr>
          <w:p>
            <w:pPr>
              <w:pStyle w:val="Normal"/>
              <w:pBdr/>
              <w:spacing w:lineRule="auto" w:line="264"/>
              <w:ind w:left="934" w:right="107" w:hanging="434"/>
              <w:jc w:val="both"/>
              <w:rPr>
                <w:rFonts w:ascii="Tahoma" w:hAnsi="Tahoma" w:eastAsia="Tahoma" w:cs="Tahoma"/>
                <w:b/>
                <w:b/>
                <w:color w:val="000000"/>
                <w:sz w:val="20"/>
                <w:szCs w:val="20"/>
              </w:rPr>
            </w:pPr>
            <w:r>
              <w:rPr>
                <w:rFonts w:eastAsia="Tahoma" w:cs="Tahoma" w:ascii="Tahoma" w:hAnsi="Tahoma"/>
                <w:b/>
                <w:color w:val="000000"/>
                <w:sz w:val="20"/>
                <w:szCs w:val="20"/>
              </w:rPr>
              <w:t xml:space="preserve">7.2. </w:t>
            </w:r>
            <w:r>
              <w:rPr>
                <w:rFonts w:eastAsia="Lexend Light" w:cs="Lexend Light" w:ascii="Lexend Light" w:hAnsi="Lexend Light"/>
                <w:color w:val="382263"/>
              </w:rPr>
              <w:t>Recepción y respuesta a solicitudes o aclaraciones sobre el listado de proyectos con recursos asignados</w:t>
            </w:r>
          </w:p>
        </w:tc>
        <w:tc>
          <w:tcPr>
            <w:tcW w:w="2668" w:type="dxa"/>
            <w:gridSpan w:val="2"/>
            <w:tcBorders>
              <w:top w:val="single" w:sz="12" w:space="0" w:color="FFFFFF"/>
              <w:left w:val="single" w:sz="12" w:space="0" w:color="FFFFFF"/>
              <w:bottom w:val="single" w:sz="12" w:space="0" w:color="FFFFFF"/>
              <w:right w:val="single" w:sz="12" w:space="0" w:color="FFFFFF"/>
            </w:tcBorders>
            <w:shd w:color="auto" w:fill="FAFAFD" w:val="clear"/>
            <w:vAlign w:val="center"/>
          </w:tcPr>
          <w:p>
            <w:pPr>
              <w:pStyle w:val="Normal"/>
              <w:pBdr/>
              <w:spacing w:lineRule="auto" w:line="228"/>
              <w:ind w:left="128" w:hanging="0"/>
              <w:rPr>
                <w:rFonts w:ascii="Lexend Light" w:hAnsi="Lexend Light" w:eastAsia="Lexend Light" w:cs="Lexend Light"/>
                <w:color w:val="382263"/>
              </w:rPr>
            </w:pPr>
            <w:r>
              <w:rPr>
                <w:rFonts w:eastAsia="Lexend Light" w:cs="Lexend Light" w:ascii="Lexend Light" w:hAnsi="Lexend Light"/>
                <w:color w:val="382263"/>
              </w:rPr>
              <w:t>24 al 26 de marzo de 2025</w:t>
            </w:r>
          </w:p>
        </w:tc>
        <w:tc>
          <w:tcPr>
            <w:tcW w:w="28" w:type="dxa"/>
            <w:tcBorders/>
            <w:shd w:fill="auto" w:val="clear"/>
          </w:tcPr>
          <w:p>
            <w:pPr>
              <w:pStyle w:val="Normal"/>
              <w:rPr/>
            </w:pPr>
            <w:r>
              <w:rPr/>
            </w:r>
          </w:p>
        </w:tc>
      </w:tr>
    </w:tbl>
    <w:p>
      <w:pPr>
        <w:pStyle w:val="Normal"/>
        <w:pBdr/>
        <w:rPr>
          <w:rFonts w:ascii="Tahoma" w:hAnsi="Tahoma" w:eastAsia="Tahoma" w:cs="Tahoma"/>
          <w:b/>
          <w:b/>
          <w:color w:val="000000"/>
          <w:sz w:val="20"/>
          <w:szCs w:val="20"/>
        </w:rPr>
      </w:pPr>
      <w:r>
        <w:rPr>
          <w:rFonts w:eastAsia="Tahoma" w:cs="Tahoma" w:ascii="Tahoma" w:hAnsi="Tahoma"/>
          <w:b/>
          <w:color w:val="000000"/>
          <w:sz w:val="20"/>
          <w:szCs w:val="20"/>
        </w:rPr>
        <mc:AlternateContent>
          <mc:Choice Requires="wps">
            <w:drawing>
              <wp:anchor behindDoc="1" distT="0" distB="0" distL="0" distR="0" simplePos="0" locked="0" layoutInCell="1" allowOverlap="1" relativeHeight="18" wp14:anchorId="05E3116A">
                <wp:simplePos x="0" y="0"/>
                <wp:positionH relativeFrom="page">
                  <wp:posOffset>4961255</wp:posOffset>
                </wp:positionH>
                <wp:positionV relativeFrom="page">
                  <wp:posOffset>2007870</wp:posOffset>
                </wp:positionV>
                <wp:extent cx="1715135" cy="1886585"/>
                <wp:effectExtent l="0" t="0" r="0" b="0"/>
                <wp:wrapNone/>
                <wp:docPr id="12" name="Forma libre: forma 27"/>
                <a:graphic xmlns:a="http://schemas.openxmlformats.org/drawingml/2006/main">
                  <a:graphicData uri="http://schemas.microsoft.com/office/word/2010/wordprocessingShape">
                    <wps:wsp>
                      <wps:cNvSpPr/>
                      <wps:spPr>
                        <a:xfrm>
                          <a:off x="0" y="0"/>
                          <a:ext cx="1714680" cy="1886040"/>
                        </a:xfrm>
                        <a:custGeom>
                          <a:avLst/>
                          <a:gdLst/>
                          <a:ahLst/>
                          <a:rect l="l" t="t" r="r" b="b"/>
                          <a:pathLst>
                            <a:path w="1704975" h="1876425">
                              <a:moveTo>
                                <a:pt x="1704975" y="0"/>
                              </a:moveTo>
                              <a:lnTo>
                                <a:pt x="0" y="0"/>
                              </a:lnTo>
                              <a:lnTo>
                                <a:pt x="0" y="457200"/>
                              </a:lnTo>
                              <a:lnTo>
                                <a:pt x="0" y="942974"/>
                              </a:lnTo>
                              <a:lnTo>
                                <a:pt x="0" y="1428750"/>
                              </a:lnTo>
                              <a:lnTo>
                                <a:pt x="0" y="1876425"/>
                              </a:lnTo>
                              <a:lnTo>
                                <a:pt x="1704975" y="1876425"/>
                              </a:lnTo>
                              <a:lnTo>
                                <a:pt x="1704975" y="1428750"/>
                              </a:lnTo>
                              <a:lnTo>
                                <a:pt x="1704975" y="942974"/>
                              </a:lnTo>
                              <a:lnTo>
                                <a:pt x="1704975" y="457200"/>
                              </a:lnTo>
                              <a:lnTo>
                                <a:pt x="1704975" y="0"/>
                              </a:lnTo>
                              <a:close/>
                            </a:path>
                          </a:pathLst>
                        </a:custGeom>
                        <a:solidFill>
                          <a:srgbClr val="fafafd"/>
                        </a:solidFill>
                        <a:ln>
                          <a:noFill/>
                        </a:ln>
                      </wps:spPr>
                      <wps:style>
                        <a:lnRef idx="0"/>
                        <a:fillRef idx="0"/>
                        <a:effectRef idx="0"/>
                        <a:fontRef idx="minor"/>
                      </wps:style>
                      <wps:bodyPr/>
                    </wps:wsp>
                  </a:graphicData>
                </a:graphic>
              </wp:anchor>
            </w:drawing>
          </mc:Choice>
          <mc:Fallback>
            <w:pict/>
          </mc:Fallback>
        </mc:AlternateContent>
      </w:r>
    </w:p>
    <w:p>
      <w:pPr>
        <w:pStyle w:val="Normal"/>
        <w:numPr>
          <w:ilvl w:val="1"/>
          <w:numId w:val="7"/>
        </w:numPr>
        <w:pBdr/>
        <w:tabs>
          <w:tab w:val="clear" w:pos="720"/>
          <w:tab w:val="left" w:pos="1075" w:leader="none"/>
          <w:tab w:val="left" w:pos="1076" w:leader="none"/>
          <w:tab w:val="left" w:pos="2078" w:leader="none"/>
          <w:tab w:val="left" w:pos="2590" w:leader="none"/>
          <w:tab w:val="left" w:pos="3049" w:leader="none"/>
        </w:tabs>
        <w:spacing w:lineRule="auto" w:line="247" w:before="100" w:after="0"/>
        <w:ind w:left="1076" w:right="401" w:hanging="735"/>
        <w:jc w:val="both"/>
        <w:rPr>
          <w:rFonts w:ascii="Lexend Light" w:hAnsi="Lexend Light" w:eastAsia="Lexend Light" w:cs="Lexend Light"/>
          <w:b/>
          <w:b/>
          <w:color w:val="EC4ED0"/>
          <w:sz w:val="28"/>
          <w:szCs w:val="28"/>
        </w:rPr>
      </w:pPr>
      <w:r>
        <w:rPr>
          <w:rFonts w:eastAsia="Lexend Light" w:cs="Lexend Light" w:ascii="Lexend Light" w:hAnsi="Lexend Light"/>
          <w:b/>
          <w:color w:val="2E5395"/>
          <w:sz w:val="28"/>
          <w:szCs w:val="28"/>
        </w:rPr>
        <w:t>¿Cuál es</w:t>
        <w:tab/>
        <w:t>el proceso de registro de entidades y de inscripción de proyectos participantes?</w:t>
      </w:r>
    </w:p>
    <w:p>
      <w:pPr>
        <w:pStyle w:val="Normal"/>
        <w:pBdr/>
        <w:spacing w:before="5" w:after="0"/>
        <w:rPr>
          <w:color w:val="000000"/>
          <w:sz w:val="28"/>
          <w:szCs w:val="28"/>
        </w:rPr>
      </w:pPr>
      <w:r>
        <w:rPr>
          <w:color w:val="000000"/>
          <w:sz w:val="28"/>
          <w:szCs w:val="28"/>
        </w:rPr>
      </w:r>
    </w:p>
    <w:p>
      <w:pPr>
        <w:pStyle w:val="Normal"/>
        <w:widowControl/>
        <w:numPr>
          <w:ilvl w:val="2"/>
          <w:numId w:val="17"/>
        </w:numPr>
        <w:pBdr/>
        <w:spacing w:lineRule="auto" w:line="360"/>
        <w:ind w:left="930" w:hanging="504"/>
        <w:rPr>
          <w:rFonts w:ascii="Lexend Light" w:hAnsi="Lexend Light" w:eastAsia="Lexend Light" w:cs="Lexend Light"/>
          <w:color w:val="ED4FD0"/>
        </w:rPr>
      </w:pPr>
      <w:bookmarkStart w:id="11" w:name="_heading=h.2et92p0"/>
      <w:bookmarkEnd w:id="11"/>
      <w:r>
        <w:rPr>
          <w:rFonts w:eastAsia="Lexend Light" w:cs="Lexend Light" w:ascii="Lexend Light" w:hAnsi="Lexend Light"/>
          <w:color w:val="ED4FD0"/>
          <w:u w:val="single"/>
        </w:rPr>
        <w:t>Sistema de registro e información – plataforma SICON</w:t>
      </w:r>
    </w:p>
    <w:p>
      <w:pPr>
        <w:pStyle w:val="Normal"/>
        <w:pBdr/>
        <w:spacing w:before="5" w:after="0"/>
        <w:rPr>
          <w:color w:val="000000"/>
          <w:sz w:val="28"/>
          <w:szCs w:val="28"/>
        </w:rPr>
      </w:pPr>
      <w:r>
        <w:rPr>
          <w:color w:val="000000"/>
          <w:sz w:val="28"/>
          <w:szCs w:val="28"/>
        </w:rPr>
      </w:r>
    </w:p>
    <w:p>
      <w:pPr>
        <w:pStyle w:val="Normal"/>
        <w:spacing w:lineRule="auto" w:line="367"/>
        <w:ind w:left="221" w:right="399" w:hanging="0"/>
        <w:jc w:val="both"/>
        <w:rPr>
          <w:rFonts w:ascii="Lexend Light" w:hAnsi="Lexend Light" w:eastAsia="Lexend Light" w:cs="Lexend Light"/>
        </w:rPr>
      </w:pPr>
      <w:r>
        <w:rPr>
          <w:rFonts w:eastAsia="Lexend Light" w:cs="Lexend Light" w:ascii="Lexend Light" w:hAnsi="Lexend Light"/>
        </w:rPr>
        <w:t xml:space="preserve">Los programas de fomento del sector cultura de Bogotá D.C., incluido el PDAC, cuentan con una plataforma de inscripción virtual </w:t>
      </w:r>
      <w:r>
        <w:rPr>
          <w:rFonts w:eastAsia="Lexend Light" w:cs="Lexend Light" w:ascii="Lexend Light" w:hAnsi="Lexend Light"/>
          <w:b/>
          <w:color w:val="ED4FD0"/>
        </w:rPr>
        <w:t>(no se reciben proyectos ni documentos por medios físicos ni por correo electrónico)</w:t>
      </w:r>
      <w:r>
        <w:rPr>
          <w:rFonts w:eastAsia="Lexend Light" w:cs="Lexend Light" w:ascii="Lexend Light" w:hAnsi="Lexend Light"/>
        </w:rPr>
        <w:t>, donde puede hacer el registro de la entidad participante, inscribir su proyecto, adjuntar la documentación administrativa requerida y consultar las novedades y resultados de las diferentes convocatorias. Esta plataforma se denomina Sistema de Convocatorias Públicas del sector cultura: SICON.</w:t>
      </w:r>
    </w:p>
    <w:p>
      <w:pPr>
        <w:pStyle w:val="Normal"/>
        <w:spacing w:lineRule="auto" w:line="372" w:before="203" w:after="0"/>
        <w:ind w:left="291" w:right="2196" w:hanging="71"/>
        <w:rPr/>
      </w:pPr>
      <w:r>
        <w:rPr>
          <w:rFonts w:eastAsia="Lexend Light" w:cs="Lexend Light" w:ascii="Lexend Light" w:hAnsi="Lexend Light"/>
          <w:b/>
          <w:color w:val="EC4ED0"/>
        </w:rPr>
        <w:t xml:space="preserve">Ingrese a: </w:t>
      </w:r>
      <w:hyperlink r:id="rId13">
        <w:r>
          <w:rPr>
            <w:rStyle w:val="Style"/>
            <w:rFonts w:eastAsia="Lexend Light" w:cs="Lexend Light" w:ascii="Lexend Light" w:hAnsi="Lexend Light"/>
            <w:b/>
            <w:color w:val="0000FF"/>
            <w:u w:val="single"/>
          </w:rPr>
          <w:drawing>
            <wp:anchor behindDoc="0" distT="0" distB="0" distL="0" distR="0" simplePos="0" locked="0" layoutInCell="1" allowOverlap="1" relativeHeight="19">
              <wp:simplePos x="0" y="0"/>
              <wp:positionH relativeFrom="column">
                <wp:posOffset>693420</wp:posOffset>
              </wp:positionH>
              <wp:positionV relativeFrom="paragraph">
                <wp:posOffset>394970</wp:posOffset>
              </wp:positionV>
              <wp:extent cx="4295775" cy="2057400"/>
              <wp:effectExtent l="0" t="0" r="0" b="0"/>
              <wp:wrapTopAndBottom/>
              <wp:docPr id="1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descr=""/>
                      <pic:cNvPicPr>
                        <a:picLocks noChangeAspect="1" noChangeArrowheads="1"/>
                      </pic:cNvPicPr>
                    </pic:nvPicPr>
                    <pic:blipFill>
                      <a:blip r:embed="rId14"/>
                      <a:stretch>
                        <a:fillRect/>
                      </a:stretch>
                    </pic:blipFill>
                    <pic:spPr bwMode="auto">
                      <a:xfrm>
                        <a:off x="0" y="0"/>
                        <a:ext cx="4295775" cy="2057400"/>
                      </a:xfrm>
                      <a:prstGeom prst="rect">
                        <a:avLst/>
                      </a:prstGeom>
                    </pic:spPr>
                  </pic:pic>
                </a:graphicData>
              </a:graphic>
            </wp:anchor>
          </w:drawing>
        </w:r>
      </w:hyperlink>
      <w:r>
        <w:rPr>
          <w:rStyle w:val="Style"/>
          <w:rFonts w:eastAsia="Lexend Light" w:cs="Lexend Light" w:ascii="Lexend Light" w:hAnsi="Lexend Light"/>
          <w:b/>
          <w:color w:val="0000FF"/>
          <w:u w:val="single"/>
        </w:rPr>
        <w:t>http://sicon.scrd.gov.co/admin_SCRD_pv/index.html</w:t>
      </w:r>
    </w:p>
    <w:p>
      <w:pPr>
        <w:pStyle w:val="Normal"/>
        <w:widowControl/>
        <w:numPr>
          <w:ilvl w:val="2"/>
          <w:numId w:val="17"/>
        </w:numPr>
        <w:pBdr/>
        <w:spacing w:lineRule="auto" w:line="360"/>
        <w:ind w:left="1134" w:hanging="708"/>
        <w:rPr>
          <w:rFonts w:ascii="Lexend Light" w:hAnsi="Lexend Light" w:eastAsia="Lexend Light" w:cs="Lexend Light"/>
          <w:color w:val="ED4FD0"/>
          <w:u w:val="single"/>
        </w:rPr>
      </w:pPr>
      <w:r>
        <w:rPr>
          <w:rFonts w:eastAsia="Lexend Light" w:cs="Lexend Light" w:ascii="Lexend Light" w:hAnsi="Lexend Light"/>
          <w:color w:val="ED4FD0"/>
          <w:u w:val="single"/>
        </w:rPr>
        <w:t>Paso a paso para el registro de entidades y para la inscripción de proyectos participantes en la plataforma SICON</w:t>
      </w:r>
    </w:p>
    <w:p>
      <w:pPr>
        <w:pStyle w:val="Normal"/>
        <w:numPr>
          <w:ilvl w:val="0"/>
          <w:numId w:val="27"/>
        </w:numPr>
        <w:pBdr/>
        <w:tabs>
          <w:tab w:val="clear" w:pos="720"/>
          <w:tab w:val="left" w:pos="581" w:leader="none"/>
        </w:tabs>
        <w:spacing w:lineRule="auto" w:line="367" w:before="226" w:after="0"/>
        <w:ind w:left="581" w:right="399" w:hanging="360"/>
        <w:jc w:val="both"/>
        <w:rPr/>
      </w:pPr>
      <w:r>
        <w:rPr>
          <w:rFonts w:eastAsia="Lexend Light" w:cs="Lexend Light" w:ascii="Lexend Light" w:hAnsi="Lexend Light"/>
          <w:color w:val="000000"/>
        </w:rPr>
        <w:t>Antes de ingresar a la plataforma cerciórese de que el navegador (Chrome, Microsoft Edge, Mozilla, Brave o Duck Duck Go) esté actualizado y asegúrese de contar con una buena conexión a internet.</w:t>
      </w:r>
    </w:p>
    <w:p>
      <w:pPr>
        <w:pStyle w:val="Normal"/>
        <w:numPr>
          <w:ilvl w:val="0"/>
          <w:numId w:val="27"/>
        </w:numPr>
        <w:pBdr/>
        <w:tabs>
          <w:tab w:val="clear" w:pos="720"/>
          <w:tab w:val="left" w:pos="581" w:leader="none"/>
        </w:tabs>
        <w:spacing w:lineRule="auto" w:line="367" w:before="226" w:after="0"/>
        <w:ind w:left="581" w:right="399" w:hanging="360"/>
        <w:jc w:val="both"/>
        <w:rPr/>
      </w:pPr>
      <w:r>
        <w:rPr>
          <w:rFonts w:eastAsia="Lexend Light" w:cs="Lexend Light" w:ascii="Lexend Light" w:hAnsi="Lexend Light"/>
          <w:color w:val="000000"/>
        </w:rPr>
        <w:t>Aprenda a usar la plataforma con el Manual de usuario SICON, que encontrará al ingresar a la plataforma.</w:t>
      </w:r>
    </w:p>
    <w:p>
      <w:pPr>
        <w:pStyle w:val="Normal"/>
        <w:numPr>
          <w:ilvl w:val="0"/>
          <w:numId w:val="27"/>
        </w:numPr>
        <w:pBdr/>
        <w:tabs>
          <w:tab w:val="clear" w:pos="720"/>
          <w:tab w:val="left" w:pos="581" w:leader="none"/>
        </w:tabs>
        <w:spacing w:lineRule="auto" w:line="367" w:before="99" w:after="0"/>
        <w:ind w:left="581" w:right="406" w:hanging="360"/>
        <w:jc w:val="both"/>
        <w:rPr/>
      </w:pPr>
      <w:r>
        <w:rPr>
          <w:rFonts w:eastAsia="Lexend Light" w:cs="Lexend Light" w:ascii="Lexend Light" w:hAnsi="Lexend Light"/>
          <w:color w:val="000000"/>
        </w:rPr>
        <w:t>Registre o actualice el usuario de la entidad participante en la plataforma. El usuario creado permitirá inscribir a la entidad en la convocatoria del PDAC modalidad proyectos locales e interlocales (e incluso en las convocatorias de otros programas de fomento, como el PDE, como participante tipo persona jurídica). Recuerde que el Número de Identiﬁcación Tributaria (NIT) registrado para la entidad participante, se asociará a un único correo electrónico.</w:t>
      </w:r>
    </w:p>
    <w:p>
      <w:pPr>
        <w:pStyle w:val="Normal"/>
        <w:numPr>
          <w:ilvl w:val="0"/>
          <w:numId w:val="27"/>
        </w:numPr>
        <w:pBdr/>
        <w:tabs>
          <w:tab w:val="clear" w:pos="720"/>
          <w:tab w:val="left" w:pos="581" w:leader="none"/>
        </w:tabs>
        <w:spacing w:lineRule="auto" w:line="367" w:before="99" w:after="0"/>
        <w:ind w:left="581" w:right="406" w:hanging="360"/>
        <w:jc w:val="both"/>
        <w:rPr/>
      </w:pPr>
      <w:r>
        <w:rPr>
          <w:rFonts w:eastAsia="Lexend Light" w:cs="Lexend Light" w:ascii="Lexend Light" w:hAnsi="Lexend Light"/>
          <w:color w:val="000000"/>
        </w:rPr>
        <w:t>Veriﬁque que el nombre de la entidad registrada coincida con el nombre reportado en el certiﬁcado de existencia y representación legal de la misma.</w:t>
      </w:r>
    </w:p>
    <w:p>
      <w:pPr>
        <w:pStyle w:val="Normal"/>
        <w:numPr>
          <w:ilvl w:val="0"/>
          <w:numId w:val="27"/>
        </w:numPr>
        <w:pBdr/>
        <w:tabs>
          <w:tab w:val="clear" w:pos="720"/>
          <w:tab w:val="left" w:pos="581" w:leader="none"/>
        </w:tabs>
        <w:spacing w:lineRule="auto" w:line="367" w:before="99" w:after="0"/>
        <w:ind w:left="581" w:right="406" w:hanging="360"/>
        <w:jc w:val="both"/>
        <w:rPr/>
      </w:pPr>
      <w:r>
        <w:rPr>
          <w:rFonts w:eastAsia="Lexend Light" w:cs="Lexend Light" w:ascii="Lexend Light" w:hAnsi="Lexend Light"/>
          <w:color w:val="000000"/>
        </w:rPr>
        <w:t>Lea las Condiciones Generales de Participación del PDAC modalidad de proyectos locales e interlocales (este documento).</w:t>
      </w:r>
    </w:p>
    <w:p>
      <w:pPr>
        <w:pStyle w:val="Normal"/>
        <w:numPr>
          <w:ilvl w:val="0"/>
          <w:numId w:val="27"/>
        </w:numPr>
        <w:pBdr/>
        <w:tabs>
          <w:tab w:val="clear" w:pos="720"/>
          <w:tab w:val="left" w:pos="581" w:leader="none"/>
        </w:tabs>
        <w:spacing w:lineRule="auto" w:line="367" w:before="99" w:after="0"/>
        <w:ind w:left="581" w:right="406" w:hanging="360"/>
        <w:jc w:val="both"/>
        <w:rPr/>
      </w:pPr>
      <w:r>
        <w:rPr>
          <w:rFonts w:eastAsia="Lexend Light" w:cs="Lexend Light" w:ascii="Lexend Light" w:hAnsi="Lexend Light"/>
          <w:color w:val="000000"/>
        </w:rPr>
        <w:t>Revise el cronograma de la convocatoria y, sobre todo, la fecha límite de inscripción de proyectos.</w:t>
      </w:r>
    </w:p>
    <w:p>
      <w:pPr>
        <w:pStyle w:val="Normal"/>
        <w:numPr>
          <w:ilvl w:val="0"/>
          <w:numId w:val="27"/>
        </w:numPr>
        <w:pBdr/>
        <w:tabs>
          <w:tab w:val="clear" w:pos="720"/>
          <w:tab w:val="left" w:pos="581" w:leader="none"/>
        </w:tabs>
        <w:spacing w:lineRule="auto" w:line="367" w:before="99" w:after="0"/>
        <w:ind w:left="581" w:right="406" w:hanging="360"/>
        <w:jc w:val="both"/>
        <w:rPr/>
      </w:pPr>
      <w:r>
        <w:rPr>
          <w:rFonts w:eastAsia="Lexend Light" w:cs="Lexend Light" w:ascii="Lexend Light" w:hAnsi="Lexend Light"/>
          <w:color w:val="000000"/>
        </w:rPr>
        <w:t xml:space="preserve">Si tiene dudas relacionadas con la convocatoria escriba al correo de la SCRD: </w:t>
      </w:r>
      <w:hyperlink r:id="rId15">
        <w:r>
          <w:rPr>
            <w:rStyle w:val="Style"/>
            <w:rFonts w:eastAsia="Lexend Light" w:cs="Lexend Light" w:ascii="Lexend Light" w:hAnsi="Lexend Light"/>
            <w:color w:val="0563C1"/>
            <w:u w:val="single"/>
          </w:rPr>
          <w:t>convocatorias@scrd.gov.co</w:t>
        </w:r>
      </w:hyperlink>
    </w:p>
    <w:p>
      <w:pPr>
        <w:pStyle w:val="Normal"/>
        <w:numPr>
          <w:ilvl w:val="0"/>
          <w:numId w:val="27"/>
        </w:numPr>
        <w:pBdr/>
        <w:tabs>
          <w:tab w:val="clear" w:pos="720"/>
          <w:tab w:val="left" w:pos="581" w:leader="none"/>
        </w:tabs>
        <w:spacing w:lineRule="auto" w:line="367" w:before="99" w:after="0"/>
        <w:ind w:left="581" w:right="406" w:hanging="360"/>
        <w:jc w:val="both"/>
        <w:rPr/>
      </w:pPr>
      <w:r>
        <w:rPr>
          <w:rFonts w:eastAsia="Lexend Light" w:cs="Lexend Light" w:ascii="Lexend Light" w:hAnsi="Lexend Light"/>
          <w:color w:val="000000"/>
        </w:rPr>
        <w:t>Deﬁna con antelación la línea de participación y prepare el proyecto a diligenciar en la plataforma.</w:t>
      </w:r>
    </w:p>
    <w:p>
      <w:pPr>
        <w:pStyle w:val="Normal"/>
        <w:numPr>
          <w:ilvl w:val="0"/>
          <w:numId w:val="27"/>
        </w:numPr>
        <w:pBdr/>
        <w:tabs>
          <w:tab w:val="clear" w:pos="720"/>
          <w:tab w:val="left" w:pos="581" w:leader="none"/>
        </w:tabs>
        <w:spacing w:lineRule="auto" w:line="367" w:before="99" w:after="0"/>
        <w:ind w:left="581" w:right="406" w:hanging="360"/>
        <w:jc w:val="both"/>
        <w:rPr/>
      </w:pPr>
      <w:r>
        <w:rPr>
          <w:rFonts w:eastAsia="Lexend Light" w:cs="Lexend Light" w:ascii="Lexend Light" w:hAnsi="Lexend Light"/>
        </w:rPr>
        <w:t>Haga una lista de chequeo de los documentos administrativos requeridos, de modo que estén listos antes de iniciar el registro del proyecto en la plataforma. Recuerde que:</w:t>
      </w:r>
    </w:p>
    <w:p>
      <w:pPr>
        <w:pStyle w:val="Normal"/>
        <w:numPr>
          <w:ilvl w:val="0"/>
          <w:numId w:val="21"/>
        </w:numPr>
        <w:pBdr/>
        <w:tabs>
          <w:tab w:val="clear" w:pos="720"/>
          <w:tab w:val="left" w:pos="941" w:leader="none"/>
        </w:tabs>
        <w:spacing w:lineRule="auto" w:line="367" w:before="202" w:after="0"/>
        <w:ind w:left="941" w:right="411" w:hanging="360"/>
        <w:jc w:val="both"/>
        <w:rPr>
          <w:color w:val="EC52C1"/>
        </w:rPr>
      </w:pPr>
      <w:r>
        <w:rPr>
          <w:rFonts w:eastAsia="Lexend Light" w:cs="Lexend Light" w:ascii="Lexend Light" w:hAnsi="Lexend Light"/>
          <w:color w:val="000000"/>
        </w:rPr>
        <w:t>Cuando alguno de los soportes a adjuntar tenga más de una página, deberá cargarlos en un único archivo PDF.</w:t>
      </w:r>
    </w:p>
    <w:p>
      <w:pPr>
        <w:pStyle w:val="Normal"/>
        <w:numPr>
          <w:ilvl w:val="0"/>
          <w:numId w:val="21"/>
        </w:numPr>
        <w:pBdr/>
        <w:tabs>
          <w:tab w:val="clear" w:pos="720"/>
          <w:tab w:val="left" w:pos="941" w:leader="none"/>
        </w:tabs>
        <w:spacing w:lineRule="auto" w:line="367" w:before="202" w:after="0"/>
        <w:ind w:left="941" w:right="411" w:hanging="360"/>
        <w:jc w:val="both"/>
        <w:rPr>
          <w:color w:val="EC52C1"/>
        </w:rPr>
      </w:pPr>
      <w:r>
        <w:rPr>
          <w:rFonts w:eastAsia="Lexend Light" w:cs="Lexend Light" w:ascii="Lexend Light" w:hAnsi="Lexend Light"/>
          <w:color w:val="000000"/>
        </w:rPr>
        <w:t xml:space="preserve">No son válidos </w:t>
      </w:r>
      <w:r>
        <w:rPr>
          <w:rFonts w:eastAsia="Lexend Light" w:cs="Lexend Light" w:ascii="Lexend Light" w:hAnsi="Lexend Light"/>
        </w:rPr>
        <w:t xml:space="preserve">los </w:t>
      </w:r>
      <w:r>
        <w:rPr>
          <w:rFonts w:eastAsia="Lexend Light" w:cs="Lexend Light" w:ascii="Lexend Light" w:hAnsi="Lexend Light"/>
          <w:color w:val="000000"/>
        </w:rPr>
        <w:t xml:space="preserve">documentos ilegibles o aportados </w:t>
      </w:r>
      <w:r>
        <w:rPr>
          <w:rFonts w:eastAsia="Lexend Light" w:cs="Lexend Light" w:ascii="Lexend Light" w:hAnsi="Lexend Light"/>
        </w:rPr>
        <w:t xml:space="preserve">de manera incompleta, o con páginas </w:t>
      </w:r>
      <w:r>
        <w:rPr>
          <w:rFonts w:eastAsia="Lexend Light" w:cs="Lexend Light" w:ascii="Lexend Light" w:hAnsi="Lexend Light"/>
          <w:color w:val="000000"/>
        </w:rPr>
        <w:t xml:space="preserve">en archivos </w:t>
      </w:r>
      <w:r>
        <w:rPr>
          <w:rFonts w:eastAsia="Lexend Light" w:cs="Lexend Light" w:ascii="Lexend Light" w:hAnsi="Lexend Light"/>
        </w:rPr>
        <w:t>separados</w:t>
      </w:r>
      <w:r>
        <w:rPr>
          <w:rFonts w:eastAsia="Lexend Light" w:cs="Lexend Light" w:ascii="Lexend Light" w:hAnsi="Lexend Light"/>
          <w:color w:val="000000"/>
        </w:rPr>
        <w:t>.</w:t>
      </w:r>
    </w:p>
    <w:p>
      <w:pPr>
        <w:pStyle w:val="Normal"/>
        <w:numPr>
          <w:ilvl w:val="0"/>
          <w:numId w:val="27"/>
        </w:numPr>
        <w:pBdr/>
        <w:tabs>
          <w:tab w:val="clear" w:pos="720"/>
          <w:tab w:val="left" w:pos="581" w:leader="none"/>
        </w:tabs>
        <w:spacing w:lineRule="auto" w:line="367" w:before="99" w:after="0"/>
        <w:ind w:left="581" w:right="406" w:hanging="360"/>
        <w:jc w:val="both"/>
        <w:rPr/>
      </w:pPr>
      <w:r>
        <w:rPr>
          <w:rFonts w:eastAsia="Lexend Light" w:cs="Lexend Light" w:ascii="Lexend Light" w:hAnsi="Lexend Light"/>
          <w:color w:val="000000"/>
        </w:rPr>
        <w:t>Lea y acepte los términos y condiciones de participación en la plataforma. De esta manera, declara que la entidad participante, su representante legal o los integrantes de su junta directiva no tienen restricciones de participación, causales de inhabilidad o incompatibilidad contempladas.</w:t>
      </w:r>
    </w:p>
    <w:p>
      <w:pPr>
        <w:pStyle w:val="Normal"/>
        <w:pBdr/>
        <w:spacing w:before="6" w:after="0"/>
        <w:rPr>
          <w:color w:val="000000"/>
          <w:sz w:val="17"/>
          <w:szCs w:val="17"/>
        </w:rPr>
      </w:pPr>
      <w:r>
        <w:rPr>
          <w:color w:val="000000"/>
          <w:sz w:val="17"/>
          <w:szCs w:val="17"/>
        </w:rPr>
      </w:r>
    </w:p>
    <w:p>
      <w:pPr>
        <w:pStyle w:val="Normal"/>
        <w:pBdr/>
        <w:spacing w:lineRule="auto" w:line="367"/>
        <w:ind w:left="581" w:right="404" w:hanging="0"/>
        <w:jc w:val="both"/>
        <w:rPr>
          <w:rFonts w:ascii="Lexend Light" w:hAnsi="Lexend Light" w:eastAsia="Lexend Light" w:cs="Lexend Light"/>
          <w:color w:val="000000"/>
        </w:rPr>
      </w:pPr>
      <w:r>
        <w:rPr>
          <w:rFonts w:eastAsia="Lexend Light" w:cs="Lexend Light" w:ascii="Lexend Light" w:hAnsi="Lexend Light"/>
          <w:color w:val="000000"/>
        </w:rPr>
        <w:t>Recuerde que al registrar e inscribir el proyecto en la plataforma, la entidad participante autoriza a la SCRD y sus entidades adscritas para que ajusten los datos de identiﬁcación ingresados que no coincidan con los documentos de identiﬁcación aportados o que reposen en las bases de datos oﬁciales.</w:t>
      </w:r>
    </w:p>
    <w:p>
      <w:pPr>
        <w:pStyle w:val="Normal"/>
        <w:numPr>
          <w:ilvl w:val="0"/>
          <w:numId w:val="27"/>
        </w:numPr>
        <w:pBdr/>
        <w:tabs>
          <w:tab w:val="clear" w:pos="720"/>
          <w:tab w:val="left" w:pos="581" w:leader="none"/>
        </w:tabs>
        <w:spacing w:lineRule="auto" w:line="367" w:before="99" w:after="0"/>
        <w:ind w:left="581" w:right="406" w:hanging="360"/>
        <w:jc w:val="both"/>
        <w:rPr/>
      </w:pPr>
      <w:r>
        <w:rPr>
          <w:rFonts w:eastAsia="Lexend Light" w:cs="Lexend Light" w:ascii="Lexend Light" w:hAnsi="Lexend Light"/>
          <w:color w:val="000000"/>
        </w:rPr>
        <w:t>Registre el proyecto y cargue la documentación administrativa y técnica requerida. Recuerde que puede guardarlo como borrador, editarlo y enviarlo cuando considere que esté listo, con todos los documentos (antes de la fecha de cierre), dando clic en Inscribir proyecto.</w:t>
      </w:r>
    </w:p>
    <w:p>
      <w:pPr>
        <w:pStyle w:val="Normal"/>
        <w:numPr>
          <w:ilvl w:val="1"/>
          <w:numId w:val="2"/>
        </w:numPr>
        <w:pBdr/>
        <w:tabs>
          <w:tab w:val="clear" w:pos="720"/>
          <w:tab w:val="left" w:pos="941" w:leader="none"/>
        </w:tabs>
        <w:spacing w:lineRule="auto" w:line="367" w:before="203" w:after="0"/>
        <w:ind w:left="941" w:right="402" w:hanging="360"/>
        <w:jc w:val="both"/>
        <w:rPr>
          <w:rFonts w:ascii="Lexend Light" w:hAnsi="Lexend Light" w:eastAsia="Lexend Light" w:cs="Lexend Light"/>
        </w:rPr>
      </w:pPr>
      <w:r>
        <w:rPr>
          <w:rFonts w:eastAsia="Lexend Light" w:cs="Lexend Light" w:ascii="Lexend Light" w:hAnsi="Lexend Light"/>
          <w:color w:val="000000"/>
        </w:rPr>
        <w:t>Asegúrese que, una vez guardado el proyecto con los documentos, todos los archivos se hayan cargado correctamente y que, al descargarlos, se pueda visualizar todo su contenido. Tenga en cuenta que, una vez enviado el proyecto, no es posible modiﬁcar los documentos cargados.</w:t>
      </w:r>
    </w:p>
    <w:p>
      <w:pPr>
        <w:pStyle w:val="Normal"/>
        <w:numPr>
          <w:ilvl w:val="1"/>
          <w:numId w:val="2"/>
        </w:numPr>
        <w:pBdr/>
        <w:tabs>
          <w:tab w:val="clear" w:pos="720"/>
          <w:tab w:val="left" w:pos="941" w:leader="none"/>
        </w:tabs>
        <w:spacing w:lineRule="auto" w:line="367" w:before="3" w:after="0"/>
        <w:ind w:left="941" w:right="403" w:hanging="360"/>
        <w:jc w:val="both"/>
        <w:rPr>
          <w:rFonts w:ascii="Lexend Light" w:hAnsi="Lexend Light" w:eastAsia="Lexend Light" w:cs="Lexend Light"/>
        </w:rPr>
      </w:pPr>
      <w:r>
        <w:rPr>
          <w:rFonts w:eastAsia="Lexend Light" w:cs="Lexend Light" w:ascii="Lexend Light" w:hAnsi="Lexend Light"/>
          <w:color w:val="000000"/>
        </w:rPr>
        <w:t xml:space="preserve">Recuerde que una vez cerradas las fechas de inscripción no se tendrán en cuenta los proyectos en estado </w:t>
      </w:r>
      <w:r>
        <w:rPr>
          <w:rFonts w:eastAsia="Lexend Light" w:cs="Lexend Light" w:ascii="Lexend Light" w:hAnsi="Lexend Light"/>
          <w:i/>
          <w:color w:val="000000"/>
        </w:rPr>
        <w:t>Guardado no inscrito</w:t>
      </w:r>
      <w:r>
        <w:rPr>
          <w:rFonts w:eastAsia="Lexend Light" w:cs="Lexend Light" w:ascii="Lexend Light" w:hAnsi="Lexend Light"/>
          <w:color w:val="000000"/>
        </w:rPr>
        <w:t xml:space="preserve">, únicamente se tendrán en cuenta los proyectos en estado </w:t>
      </w:r>
      <w:r>
        <w:rPr>
          <w:rFonts w:eastAsia="Lexend Light" w:cs="Lexend Light" w:ascii="Lexend Light" w:hAnsi="Lexend Light"/>
          <w:i/>
          <w:color w:val="000000"/>
        </w:rPr>
        <w:t>Inscrito</w:t>
      </w:r>
      <w:r>
        <w:rPr>
          <w:rFonts w:eastAsia="Lexend Light" w:cs="Lexend Light" w:ascii="Lexend Light" w:hAnsi="Lexend Light"/>
          <w:color w:val="000000"/>
        </w:rPr>
        <w:t>.</w:t>
      </w:r>
    </w:p>
    <w:p>
      <w:pPr>
        <w:pStyle w:val="Normal"/>
        <w:numPr>
          <w:ilvl w:val="1"/>
          <w:numId w:val="2"/>
        </w:numPr>
        <w:pBdr/>
        <w:tabs>
          <w:tab w:val="clear" w:pos="720"/>
          <w:tab w:val="left" w:pos="941" w:leader="none"/>
        </w:tabs>
        <w:spacing w:lineRule="auto" w:line="367" w:before="2" w:after="0"/>
        <w:ind w:left="941" w:right="400" w:hanging="360"/>
        <w:jc w:val="both"/>
        <w:rPr>
          <w:rFonts w:ascii="Lexend Light" w:hAnsi="Lexend Light" w:eastAsia="Lexend Light" w:cs="Lexend Light"/>
        </w:rPr>
      </w:pPr>
      <w:r>
        <w:rPr>
          <w:rFonts w:eastAsia="Lexend Light" w:cs="Lexend Light" w:ascii="Lexend Light" w:hAnsi="Lexend Light"/>
          <w:color w:val="000000"/>
        </w:rPr>
        <w:t>La plataforma estará habilitada hasta las 5:00 p.m., hora legal colombiana, de la fecha de cierre de inscripciones de la convocatoria. Solo hasta esa hora podrá adjuntar documentos e inscribirse.</w:t>
      </w:r>
    </w:p>
    <w:p>
      <w:pPr>
        <w:pStyle w:val="Normal"/>
        <w:numPr>
          <w:ilvl w:val="1"/>
          <w:numId w:val="2"/>
        </w:numPr>
        <w:pBdr/>
        <w:tabs>
          <w:tab w:val="clear" w:pos="720"/>
          <w:tab w:val="left" w:pos="941" w:leader="none"/>
        </w:tabs>
        <w:spacing w:lineRule="auto" w:line="367" w:before="2" w:after="0"/>
        <w:ind w:left="941" w:right="400" w:hanging="360"/>
        <w:jc w:val="both"/>
        <w:rPr>
          <w:rFonts w:ascii="Lexend Light" w:hAnsi="Lexend Light" w:eastAsia="Lexend Light" w:cs="Lexend Light"/>
        </w:rPr>
      </w:pPr>
      <w:r>
        <w:rPr>
          <w:rFonts w:eastAsia="Lexend Light" w:cs="Lexend Light" w:ascii="Lexend Light" w:hAnsi="Lexend Light"/>
          <w:color w:val="000000"/>
        </w:rPr>
        <w:t xml:space="preserve">¡inscriba su proyecto a tiempo! Según las estadísticas, la mayoría de los participantes se inscriben el último día, lo </w:t>
      </w:r>
      <w:r>
        <w:rPr>
          <w:rFonts w:eastAsia="Lexend Light" w:cs="Lexend Light" w:ascii="Lexend Light" w:hAnsi="Lexend Light"/>
        </w:rPr>
        <w:t xml:space="preserve">cual </w:t>
      </w:r>
      <w:r>
        <w:rPr>
          <w:rFonts w:eastAsia="Lexend Light" w:cs="Lexend Light" w:ascii="Lexend Light" w:hAnsi="Lexend Light"/>
          <w:color w:val="000000"/>
        </w:rPr>
        <w:t xml:space="preserve">incrementa la probabilidad de omisión y que su proyecto no sea </w:t>
      </w:r>
      <w:r>
        <w:rPr>
          <w:rFonts w:eastAsia="Lexend Light" w:cs="Lexend Light" w:ascii="Lexend Light" w:hAnsi="Lexend Light"/>
        </w:rPr>
        <w:t>habilitado</w:t>
      </w:r>
      <w:r>
        <w:rPr>
          <w:rFonts w:eastAsia="Lexend Light" w:cs="Lexend Light" w:ascii="Lexend Light" w:hAnsi="Lexend Light"/>
          <w:color w:val="000000"/>
        </w:rPr>
        <w:t xml:space="preserve">. </w:t>
      </w:r>
    </w:p>
    <w:p>
      <w:pPr>
        <w:pStyle w:val="Normal"/>
        <w:numPr>
          <w:ilvl w:val="1"/>
          <w:numId w:val="2"/>
        </w:numPr>
        <w:pBdr/>
        <w:tabs>
          <w:tab w:val="clear" w:pos="720"/>
          <w:tab w:val="left" w:pos="941" w:leader="none"/>
        </w:tabs>
        <w:spacing w:lineRule="auto" w:line="367" w:before="3" w:after="0"/>
        <w:ind w:left="941" w:right="403" w:hanging="360"/>
        <w:jc w:val="both"/>
        <w:rPr>
          <w:rFonts w:ascii="Lexend Light" w:hAnsi="Lexend Light" w:eastAsia="Lexend Light" w:cs="Lexend Light"/>
        </w:rPr>
      </w:pPr>
      <w:r>
        <w:rPr>
          <w:rFonts w:eastAsia="Lexend Light" w:cs="Lexend Light" w:ascii="Lexend Light" w:hAnsi="Lexend Light"/>
          <w:color w:val="000000"/>
        </w:rPr>
        <w:t>No olvide que la inscripción del proyecto (incluido el cargue de los documentos requeridos) en la plataforma, es responsabilidad de las entidades interesadas en participar en la convocatoria.</w:t>
      </w:r>
    </w:p>
    <w:p>
      <w:pPr>
        <w:pStyle w:val="Normal"/>
        <w:numPr>
          <w:ilvl w:val="1"/>
          <w:numId w:val="2"/>
        </w:numPr>
        <w:pBdr/>
        <w:tabs>
          <w:tab w:val="clear" w:pos="720"/>
          <w:tab w:val="left" w:pos="941" w:leader="none"/>
        </w:tabs>
        <w:spacing w:before="2" w:after="0"/>
        <w:jc w:val="both"/>
        <w:rPr>
          <w:rFonts w:ascii="Lexend Light" w:hAnsi="Lexend Light" w:eastAsia="Lexend Light" w:cs="Lexend Light"/>
        </w:rPr>
      </w:pPr>
      <w:r>
        <w:rPr>
          <w:rFonts w:eastAsia="Lexend Light" w:cs="Lexend Light" w:ascii="Lexend Light" w:hAnsi="Lexend Light"/>
        </w:rPr>
        <w:t xml:space="preserve">Para la formulación del </w:t>
      </w:r>
      <w:r>
        <w:rPr>
          <w:rFonts w:eastAsia="Lexend Light" w:cs="Lexend Light" w:ascii="Lexend Light" w:hAnsi="Lexend Light"/>
          <w:color w:val="000000"/>
        </w:rPr>
        <w:t>presupuesto del proyecto, recuerde que:</w:t>
      </w:r>
    </w:p>
    <w:p>
      <w:pPr>
        <w:pStyle w:val="Normal"/>
        <w:pBdr/>
        <w:rPr>
          <w:color w:val="000000"/>
          <w:sz w:val="20"/>
          <w:szCs w:val="20"/>
        </w:rPr>
      </w:pPr>
      <w:r>
        <w:rPr>
          <w:color w:val="000000"/>
          <w:sz w:val="20"/>
          <w:szCs w:val="20"/>
        </w:rPr>
      </w:r>
    </w:p>
    <w:p>
      <w:pPr>
        <w:pStyle w:val="Normal"/>
        <w:numPr>
          <w:ilvl w:val="2"/>
          <w:numId w:val="2"/>
        </w:numPr>
        <w:pBdr/>
        <w:tabs>
          <w:tab w:val="clear" w:pos="720"/>
          <w:tab w:val="left" w:pos="1301" w:leader="none"/>
        </w:tabs>
        <w:spacing w:lineRule="auto" w:line="367" w:before="99" w:after="0"/>
        <w:ind w:left="1301" w:right="398" w:hanging="360"/>
        <w:jc w:val="both"/>
        <w:rPr>
          <w:rFonts w:ascii="Lexend Light" w:hAnsi="Lexend Light" w:eastAsia="Lexend Light" w:cs="Lexend Light"/>
          <w:color w:val="000000"/>
        </w:rPr>
      </w:pPr>
      <w:r>
        <w:rPr>
          <w:rFonts w:eastAsia="Lexend Light" w:cs="Lexend Light" w:ascii="Lexend Light" w:hAnsi="Lexend Light"/>
        </w:rPr>
        <w:t>L</w:t>
      </w:r>
      <w:r>
        <w:rPr>
          <w:rFonts w:eastAsia="Lexend Light" w:cs="Lexend Light" w:ascii="Lexend Light" w:hAnsi="Lexend Light"/>
          <w:color w:val="000000"/>
        </w:rPr>
        <w:t xml:space="preserve">as entidades participantes deben tener como marco de referencia la </w:t>
      </w:r>
      <w:r>
        <w:rPr>
          <w:rFonts w:eastAsia="Lexend Light" w:cs="Lexend Light" w:ascii="Lexend Light" w:hAnsi="Lexend Light"/>
          <w:i/>
          <w:color w:val="000000"/>
        </w:rPr>
        <w:t>Guía de</w:t>
      </w:r>
      <w:r>
        <w:rPr>
          <w:rFonts w:eastAsia="Lexend Light" w:cs="Lexend Light" w:ascii="Lexend Light" w:hAnsi="Lexend Light"/>
          <w:i/>
        </w:rPr>
        <w:t xml:space="preserve"> presupuesto </w:t>
      </w:r>
      <w:r>
        <w:rPr>
          <w:rFonts w:eastAsia="Lexend Light" w:cs="Lexend Light" w:ascii="Lexend Light" w:hAnsi="Lexend Light"/>
          <w:i/>
          <w:color w:val="000000"/>
        </w:rPr>
        <w:t>gastos permitidos y no permitidos para el P</w:t>
      </w:r>
      <w:r>
        <w:rPr>
          <w:rFonts w:eastAsia="Lexend Light" w:cs="Lexend Light" w:ascii="Lexend Light" w:hAnsi="Lexend Light"/>
          <w:i/>
        </w:rPr>
        <w:t>rograma Distrital de Apoyos Concertados-P</w:t>
      </w:r>
      <w:r>
        <w:rPr>
          <w:rFonts w:eastAsia="Lexend Light" w:cs="Lexend Light" w:ascii="Lexend Light" w:hAnsi="Lexend Light"/>
          <w:i/>
          <w:color w:val="000000"/>
        </w:rPr>
        <w:t xml:space="preserve">DAC </w:t>
      </w:r>
      <w:r>
        <w:rPr>
          <w:rFonts w:eastAsia="Lexend Light" w:cs="Lexend Light" w:ascii="Lexend Light" w:hAnsi="Lexend Light"/>
          <w:color w:val="000000"/>
        </w:rPr>
        <w:t>y la</w:t>
      </w:r>
      <w:r>
        <w:rPr>
          <w:rFonts w:eastAsia="Lexend Light" w:cs="Lexend Light" w:ascii="Lexend Light" w:hAnsi="Lexend Light"/>
          <w:i/>
          <w:color w:val="000000"/>
        </w:rPr>
        <w:t xml:space="preserve"> </w:t>
      </w:r>
      <w:r>
        <w:rPr>
          <w:rFonts w:eastAsia="Lexend Light" w:cs="Lexend Light" w:ascii="Lexend Light" w:hAnsi="Lexend Light"/>
          <w:i/>
        </w:rPr>
        <w:t>T</w:t>
      </w:r>
      <w:r>
        <w:rPr>
          <w:rFonts w:eastAsia="Lexend Light" w:cs="Lexend Light" w:ascii="Lexend Light" w:hAnsi="Lexend Light"/>
          <w:i/>
          <w:color w:val="000000"/>
        </w:rPr>
        <w:t>abla de costos de la SCRD</w:t>
      </w:r>
      <w:r>
        <w:rPr>
          <w:rFonts w:eastAsia="Lexend Light" w:cs="Lexend Light" w:ascii="Lexend Light" w:hAnsi="Lexend Light"/>
          <w:color w:val="000000"/>
        </w:rPr>
        <w:t>, y en caso de incluir un ítem que no esté referenciado en esa tabla, se deben adjuntar mínimo dos (2) cotizaciones.</w:t>
      </w:r>
    </w:p>
    <w:p>
      <w:pPr>
        <w:pStyle w:val="Normal"/>
        <w:numPr>
          <w:ilvl w:val="2"/>
          <w:numId w:val="2"/>
        </w:numPr>
        <w:pBdr/>
        <w:tabs>
          <w:tab w:val="clear" w:pos="720"/>
          <w:tab w:val="left" w:pos="1301" w:leader="none"/>
        </w:tabs>
        <w:spacing w:lineRule="auto" w:line="367" w:before="3" w:after="0"/>
        <w:ind w:left="1301" w:right="401" w:hanging="360"/>
        <w:jc w:val="both"/>
        <w:rPr>
          <w:rFonts w:ascii="Lexend Light" w:hAnsi="Lexend Light" w:eastAsia="Lexend Light" w:cs="Lexend Light"/>
          <w:color w:val="000000"/>
        </w:rPr>
      </w:pPr>
      <w:r>
        <w:rPr>
          <w:rFonts w:eastAsia="Lexend Light" w:cs="Lexend Light" w:ascii="Lexend Light" w:hAnsi="Lexend Light"/>
          <w:color w:val="000000"/>
        </w:rPr>
        <w:t>Es posible incluir gastos administrativos por un valor no superior al 15% del total de los recursos solicitados, siempre y cuando estos recursos aporten de manera clara a la correcta ejecución del proyecto presentado.</w:t>
      </w:r>
    </w:p>
    <w:p>
      <w:pPr>
        <w:pStyle w:val="Normal"/>
        <w:numPr>
          <w:ilvl w:val="2"/>
          <w:numId w:val="2"/>
        </w:numPr>
        <w:pBdr/>
        <w:tabs>
          <w:tab w:val="clear" w:pos="720"/>
          <w:tab w:val="left" w:pos="1301" w:leader="none"/>
        </w:tabs>
        <w:spacing w:lineRule="auto" w:line="367" w:before="3" w:after="0"/>
        <w:ind w:left="1301" w:right="401" w:hanging="360"/>
        <w:jc w:val="both"/>
        <w:rPr>
          <w:rFonts w:ascii="Lexend Light" w:hAnsi="Lexend Light" w:eastAsia="Lexend Light" w:cs="Lexend Light"/>
          <w:color w:val="000000"/>
        </w:rPr>
      </w:pPr>
      <w:r>
        <w:rPr>
          <w:rFonts w:eastAsia="Lexend Light" w:cs="Lexend Light" w:ascii="Lexend Light" w:hAnsi="Lexend Light"/>
        </w:rPr>
        <w:t xml:space="preserve">Independientemente de la fuente de los recursos (PDAC, propios o de terceros) destinados para cubrir las actividades del proyecto, se debe garantizar que exista coherencia entre estas y sus montos. Particularmente en el caso del talento humano, entre la retribución asignada y las labores desempeñadas. </w:t>
      </w:r>
    </w:p>
    <w:p>
      <w:pPr>
        <w:pStyle w:val="Normal"/>
        <w:numPr>
          <w:ilvl w:val="0"/>
          <w:numId w:val="27"/>
        </w:numPr>
        <w:pBdr/>
        <w:tabs>
          <w:tab w:val="clear" w:pos="720"/>
          <w:tab w:val="left" w:pos="581" w:leader="none"/>
        </w:tabs>
        <w:spacing w:lineRule="auto" w:line="367" w:before="99" w:after="0"/>
        <w:ind w:left="581" w:right="406" w:hanging="360"/>
        <w:jc w:val="both"/>
        <w:rPr/>
      </w:pPr>
      <w:r>
        <w:rPr>
          <w:color w:val="000000"/>
        </w:rPr>
        <w:t>S</w:t>
      </w:r>
      <w:r>
        <w:rPr>
          <w:rFonts w:eastAsia="Lexend Light" w:cs="Lexend Light" w:ascii="Lexend Light" w:hAnsi="Lexend Light"/>
          <w:color w:val="000000"/>
        </w:rPr>
        <w:t>i tiene inconvenientes con la plataforma durante el proceso de registro de usuario</w:t>
      </w:r>
      <w:r>
        <w:rPr>
          <w:rFonts w:eastAsia="Lexend Light" w:cs="Lexend Light" w:ascii="Lexend Light" w:hAnsi="Lexend Light"/>
        </w:rPr>
        <w:t xml:space="preserve"> </w:t>
      </w:r>
      <w:r>
        <w:rPr>
          <w:rFonts w:eastAsia="Lexend Light" w:cs="Lexend Light" w:ascii="Lexend Light" w:hAnsi="Lexend Light"/>
          <w:color w:val="000000"/>
        </w:rPr>
        <w:t>e</w:t>
      </w:r>
      <w:r>
        <w:rPr>
          <w:rFonts w:eastAsia="Lexend Light" w:cs="Lexend Light" w:ascii="Lexend Light" w:hAnsi="Lexend Light"/>
        </w:rPr>
        <w:t xml:space="preserve"> </w:t>
      </w:r>
      <w:r>
        <w:rPr>
          <w:rFonts w:eastAsia="Lexend Light" w:cs="Lexend Light" w:ascii="Lexend Light" w:hAnsi="Lexend Light"/>
          <w:color w:val="000000"/>
        </w:rPr>
        <w:t>inscripción del</w:t>
      </w:r>
      <w:r>
        <w:rPr>
          <w:rFonts w:eastAsia="Lexend Light" w:cs="Lexend Light" w:ascii="Lexend Light" w:hAnsi="Lexend Light"/>
        </w:rPr>
        <w:t xml:space="preserve"> </w:t>
      </w:r>
      <w:r>
        <w:rPr>
          <w:rFonts w:eastAsia="Lexend Light" w:cs="Lexend Light" w:ascii="Lexend Light" w:hAnsi="Lexend Light"/>
          <w:color w:val="000000"/>
        </w:rPr>
        <w:t>proyecto, por favor escriba a:</w:t>
      </w:r>
      <w:r>
        <w:rPr>
          <w:rFonts w:eastAsia="Lexend Light" w:cs="Lexend Light" w:ascii="Lexend Light" w:hAnsi="Lexend Light"/>
        </w:rPr>
        <w:t xml:space="preserve"> </w:t>
      </w:r>
      <w:hyperlink r:id="rId16">
        <w:r>
          <w:rPr>
            <w:rStyle w:val="Style"/>
            <w:rFonts w:eastAsia="Lexend Light" w:cs="Lexend Light" w:ascii="Lexend Light" w:hAnsi="Lexend Light"/>
            <w:color w:val="0563C1"/>
            <w:u w:val="single"/>
          </w:rPr>
          <w:t>convocatorias@scrd.gov.co</w:t>
        </w:r>
      </w:hyperlink>
      <w:r>
        <w:rPr>
          <w:rFonts w:eastAsia="Lexend Light" w:cs="Lexend Light" w:ascii="Lexend Light" w:hAnsi="Lexend Light"/>
          <w:color w:val="000000"/>
        </w:rPr>
        <w:t>, y envíe un soporte (imagen video, etc.)</w:t>
      </w:r>
      <w:r>
        <w:rPr>
          <w:rFonts w:eastAsia="Lexend Light" w:cs="Lexend Light" w:ascii="Lexend Light" w:hAnsi="Lexend Light"/>
        </w:rPr>
        <w:t xml:space="preserve"> </w:t>
      </w:r>
      <w:r>
        <w:rPr>
          <w:rFonts w:eastAsia="Lexend Light" w:cs="Lexend Light" w:ascii="Lexend Light" w:hAnsi="Lexend Light"/>
          <w:color w:val="000000"/>
        </w:rPr>
        <w:t>que explique la situación,</w:t>
      </w:r>
      <w:r>
        <w:rPr>
          <w:rFonts w:eastAsia="Lexend Light" w:cs="Lexend Light" w:ascii="Lexend Light" w:hAnsi="Lexend Light"/>
        </w:rPr>
        <w:t xml:space="preserve"> </w:t>
      </w:r>
      <w:r>
        <w:rPr>
          <w:rFonts w:eastAsia="Lexend Light" w:cs="Lexend Light" w:ascii="Lexend Light" w:hAnsi="Lexend Light"/>
          <w:color w:val="000000"/>
        </w:rPr>
        <w:t xml:space="preserve">para entender mejor cómo resolver la inquietud. Es </w:t>
      </w:r>
      <w:r>
        <w:rPr>
          <w:rFonts w:eastAsia="Lexend Light" w:cs="Lexend Light" w:ascii="Lexend Light" w:hAnsi="Lexend Light"/>
          <w:b/>
          <w:color w:val="ED4FD0"/>
        </w:rPr>
        <w:t>MUY IMPORTANTE</w:t>
      </w:r>
      <w:r>
        <w:rPr>
          <w:rFonts w:eastAsia="Lexend Light" w:cs="Lexend Light" w:ascii="Lexend Light" w:hAnsi="Lexend Light"/>
          <w:color w:val="000000"/>
        </w:rPr>
        <w:t xml:space="preserve"> que se comunique a tiempo, es decir, dentro de las fechas de inscripción de la convocatoria, para revisar y responder a la situación oportunamente.</w:t>
      </w:r>
    </w:p>
    <w:p>
      <w:pPr>
        <w:pStyle w:val="Normal"/>
        <w:numPr>
          <w:ilvl w:val="0"/>
          <w:numId w:val="27"/>
        </w:numPr>
        <w:pBdr/>
        <w:tabs>
          <w:tab w:val="clear" w:pos="720"/>
          <w:tab w:val="left" w:pos="581" w:leader="none"/>
        </w:tabs>
        <w:spacing w:lineRule="auto" w:line="367" w:before="99" w:after="0"/>
        <w:ind w:left="581" w:right="406" w:hanging="360"/>
        <w:jc w:val="both"/>
        <w:rPr/>
      </w:pPr>
      <w:r>
        <w:rPr>
          <w:rFonts w:eastAsia="Lexend Light" w:cs="Lexend Light" w:ascii="Lexend Light" w:hAnsi="Lexend Light"/>
          <w:color w:val="000000"/>
        </w:rPr>
        <w:t>Si durante la fase de inscripción considera necesario, por ajuste o error, la inscripción de un nuevo proyecto en reemplazo de otro que ya había inscrito exitosamente, tenga presente que debe anular primero el proyecto inicial y cerciorarse de completar exitosamente el registro del nuevo, antes de la fecha de cierre de la convocatoria.</w:t>
      </w:r>
    </w:p>
    <w:p>
      <w:pPr>
        <w:pStyle w:val="Normal"/>
        <w:numPr>
          <w:ilvl w:val="0"/>
          <w:numId w:val="27"/>
        </w:numPr>
        <w:pBdr/>
        <w:tabs>
          <w:tab w:val="clear" w:pos="720"/>
          <w:tab w:val="left" w:pos="581" w:leader="none"/>
        </w:tabs>
        <w:spacing w:lineRule="auto" w:line="367" w:before="99" w:after="0"/>
        <w:ind w:left="581" w:right="406" w:hanging="360"/>
        <w:jc w:val="both"/>
        <w:rPr/>
      </w:pPr>
      <w:r>
        <w:rPr>
          <w:rFonts w:eastAsia="Lexend Light" w:cs="Lexend Light" w:ascii="Lexend Light" w:hAnsi="Lexend Light"/>
          <w:color w:val="000000"/>
        </w:rPr>
        <w:t xml:space="preserve">Si cree necesario anular un proyecto inscrito, puede hacerlo hasta tres (3) días hábiles después de la publicación del listado deﬁnitivo de entidades con proyectos habilitados y </w:t>
      </w:r>
      <w:r>
        <w:rPr>
          <w:rFonts w:eastAsia="Lexend Light" w:cs="Lexend Light" w:ascii="Lexend Light" w:hAnsi="Lexend Light"/>
        </w:rPr>
        <w:t>no habilitados</w:t>
      </w:r>
      <w:r>
        <w:rPr>
          <w:rFonts w:eastAsia="Lexend Light" w:cs="Lexend Light" w:ascii="Lexend Light" w:hAnsi="Lexend Light"/>
          <w:color w:val="000000"/>
        </w:rPr>
        <w:t xml:space="preserve">. Para ello, es necesario que solicite al correo </w:t>
      </w:r>
      <w:hyperlink r:id="rId17">
        <w:r>
          <w:rPr>
            <w:rStyle w:val="Style"/>
            <w:rFonts w:eastAsia="Lexend Light" w:cs="Lexend Light" w:ascii="Lexend Light" w:hAnsi="Lexend Light"/>
            <w:color w:val="0563C1"/>
            <w:u w:val="single"/>
          </w:rPr>
          <w:t>convocatorias@scrd.gov.co</w:t>
        </w:r>
      </w:hyperlink>
      <w:r>
        <w:rPr>
          <w:rFonts w:eastAsia="Lexend Light" w:cs="Lexend Light" w:ascii="Lexend Light" w:hAnsi="Lexend Light"/>
          <w:color w:val="000000"/>
        </w:rPr>
        <w:t>, el retiro del proyecto desde el correo de la entidad participante registrado en la plataforma.</w:t>
      </w:r>
    </w:p>
    <w:p>
      <w:pPr>
        <w:pStyle w:val="Normal"/>
        <w:pBdr/>
        <w:spacing w:before="6" w:after="0"/>
        <w:rPr>
          <w:color w:val="000000"/>
          <w:sz w:val="17"/>
          <w:szCs w:val="17"/>
        </w:rPr>
      </w:pPr>
      <w:r>
        <w:rPr>
          <w:color w:val="000000"/>
          <w:sz w:val="17"/>
          <w:szCs w:val="17"/>
        </w:rPr>
      </w:r>
    </w:p>
    <w:p>
      <w:pPr>
        <w:pStyle w:val="Ttulo2"/>
        <w:numPr>
          <w:ilvl w:val="1"/>
          <w:numId w:val="7"/>
        </w:numPr>
        <w:tabs>
          <w:tab w:val="clear" w:pos="720"/>
          <w:tab w:val="left" w:pos="1075" w:leader="none"/>
          <w:tab w:val="left" w:pos="1076" w:leader="none"/>
          <w:tab w:val="left" w:pos="2438" w:leader="none"/>
          <w:tab w:val="left" w:pos="3203" w:leader="none"/>
          <w:tab w:val="left" w:pos="3873" w:leader="none"/>
          <w:tab w:val="left" w:pos="5876" w:leader="none"/>
          <w:tab w:val="left" w:pos="8377" w:leader="none"/>
        </w:tabs>
        <w:spacing w:lineRule="auto" w:line="247"/>
        <w:ind w:left="1076" w:right="405" w:hanging="735"/>
        <w:rPr>
          <w:rFonts w:ascii="Lexend Light" w:hAnsi="Lexend Light" w:eastAsia="Lexend Light" w:cs="Lexend Light"/>
          <w:color w:val="EC4ED0"/>
        </w:rPr>
      </w:pPr>
      <w:r>
        <w:rPr>
          <w:rFonts w:eastAsia="Lexend Light" w:cs="Lexend Light" w:ascii="Lexend Light" w:hAnsi="Lexend Light"/>
          <w:color w:val="2E5395"/>
        </w:rPr>
        <w:t>¿Cuáles</w:t>
        <w:tab/>
        <w:t>son</w:t>
        <w:tab/>
        <w:t>los</w:t>
        <w:tab/>
        <w:t>documentos</w:t>
        <w:tab/>
        <w:t>administrativos</w:t>
        <w:tab/>
        <w:t>para inscribirse en la convocatoria?</w:t>
      </w:r>
    </w:p>
    <w:p>
      <w:pPr>
        <w:pStyle w:val="Normal"/>
        <w:pBdr/>
        <w:spacing w:lineRule="auto" w:line="367" w:before="236" w:after="0"/>
        <w:ind w:left="221" w:right="399" w:hanging="0"/>
        <w:jc w:val="both"/>
        <w:rPr>
          <w:rFonts w:ascii="Lexend Light" w:hAnsi="Lexend Light" w:eastAsia="Lexend Light" w:cs="Lexend Light"/>
          <w:color w:val="000000"/>
        </w:rPr>
      </w:pPr>
      <w:r>
        <w:rPr>
          <w:rFonts w:eastAsia="Lexend Light" w:cs="Lexend Light" w:ascii="Lexend Light" w:hAnsi="Lexend Light"/>
          <w:color w:val="000000"/>
        </w:rPr>
        <w:t xml:space="preserve">A continuación, están relacionados los documentos administrativos que las entidades proponentes deben cargar en la plataforma al momento de realizar la inscripción de sus proyectos. Estos documentos </w:t>
      </w:r>
      <w:r>
        <w:rPr>
          <w:rFonts w:eastAsia="Lexend" w:cs="Lexend" w:ascii="Lexend" w:hAnsi="Lexend"/>
          <w:b/>
          <w:color w:val="ED4FD0"/>
        </w:rPr>
        <w:t>tienen el carácter de subsanables</w:t>
      </w:r>
      <w:r>
        <w:rPr>
          <w:rFonts w:eastAsia="Lexend Light" w:cs="Lexend Light" w:ascii="Lexend Light" w:hAnsi="Lexend Light"/>
          <w:color w:val="000000"/>
        </w:rPr>
        <w:t>, es decir, que son susceptibles de ser completados, actualizados o corregidos en un momento posterior a la inscripción, por parte de la entidad participante y por solicitud de la SCRD.</w:t>
      </w:r>
    </w:p>
    <w:p>
      <w:pPr>
        <w:pStyle w:val="Normal"/>
        <w:pBdr/>
        <w:spacing w:before="5" w:after="1"/>
        <w:rPr>
          <w:color w:val="000000"/>
          <w:sz w:val="12"/>
          <w:szCs w:val="12"/>
        </w:rPr>
      </w:pPr>
      <w:r>
        <w:rPr>
          <w:color w:val="000000"/>
          <w:sz w:val="12"/>
          <w:szCs w:val="12"/>
        </w:rPr>
      </w:r>
    </w:p>
    <w:tbl>
      <w:tblPr>
        <w:tblStyle w:val="a0"/>
        <w:tblW w:w="8900" w:type="dxa"/>
        <w:jc w:val="left"/>
        <w:tblInd w:w="245" w:type="dxa"/>
        <w:tblCellMar>
          <w:top w:w="0" w:type="dxa"/>
          <w:left w:w="108" w:type="dxa"/>
          <w:bottom w:w="0" w:type="dxa"/>
          <w:right w:w="108" w:type="dxa"/>
        </w:tblCellMar>
        <w:tblLook w:firstRow="0" w:noVBand="0" w:lastRow="0" w:firstColumn="0" w:lastColumn="0" w:noHBand="0" w:val="0000"/>
      </w:tblPr>
      <w:tblGrid>
        <w:gridCol w:w="7020"/>
        <w:gridCol w:w="1879"/>
      </w:tblGrid>
      <w:tr>
        <w:trPr>
          <w:tblHeader w:val="true"/>
          <w:trHeight w:val="375" w:hRule="atLeast"/>
        </w:trPr>
        <w:tc>
          <w:tcPr>
            <w:tcW w:w="7020" w:type="dxa"/>
            <w:tcBorders>
              <w:top w:val="single" w:sz="18" w:space="0" w:color="6F2FA0"/>
              <w:left w:val="single" w:sz="18" w:space="0" w:color="6F2FA0"/>
              <w:bottom w:val="single" w:sz="18" w:space="0" w:color="6F2FA0"/>
              <w:right w:val="single" w:sz="18" w:space="0" w:color="6F2FA0"/>
            </w:tcBorders>
            <w:shd w:color="auto" w:fill="EC52C1" w:val="clear"/>
            <w:vAlign w:val="center"/>
          </w:tcPr>
          <w:p>
            <w:pPr>
              <w:pStyle w:val="Normal"/>
              <w:pBdr/>
              <w:spacing w:before="1" w:after="0"/>
              <w:ind w:left="824" w:right="782" w:hanging="0"/>
              <w:jc w:val="center"/>
              <w:rPr>
                <w:rFonts w:ascii="Lexend Light" w:hAnsi="Lexend Light" w:eastAsia="Lexend Light" w:cs="Lexend Light"/>
                <w:b/>
                <w:b/>
                <w:color w:val="000000"/>
              </w:rPr>
            </w:pPr>
            <w:r>
              <w:rPr>
                <w:rFonts w:eastAsia="Lexend Light" w:cs="Lexend Light" w:ascii="Lexend Light" w:hAnsi="Lexend Light"/>
                <w:b/>
                <w:color w:val="FFFFFF"/>
              </w:rPr>
              <w:t>DOCUMENTO</w:t>
            </w:r>
          </w:p>
        </w:tc>
        <w:tc>
          <w:tcPr>
            <w:tcW w:w="1879" w:type="dxa"/>
            <w:tcBorders>
              <w:top w:val="single" w:sz="18" w:space="0" w:color="6F2FA0"/>
              <w:left w:val="single" w:sz="18" w:space="0" w:color="6F2FA0"/>
              <w:bottom w:val="single" w:sz="18" w:space="0" w:color="6F2FA0"/>
              <w:right w:val="single" w:sz="18" w:space="0" w:color="6F2FA0"/>
            </w:tcBorders>
            <w:shd w:color="auto" w:fill="EC52C1" w:val="clear"/>
            <w:vAlign w:val="center"/>
          </w:tcPr>
          <w:p>
            <w:pPr>
              <w:pStyle w:val="Normal"/>
              <w:pBdr/>
              <w:spacing w:before="1" w:after="0"/>
              <w:ind w:left="103" w:hanging="0"/>
              <w:rPr>
                <w:rFonts w:ascii="Lexend Light" w:hAnsi="Lexend Light" w:eastAsia="Lexend Light" w:cs="Lexend Light"/>
                <w:b/>
                <w:b/>
                <w:color w:val="000000"/>
              </w:rPr>
            </w:pPr>
            <w:r>
              <w:rPr>
                <w:rFonts w:eastAsia="Lexend Light" w:cs="Lexend Light" w:ascii="Lexend Light" w:hAnsi="Lexend Light"/>
                <w:b/>
                <w:color w:val="FFFFFF"/>
              </w:rPr>
              <w:t>SUBSANABLE</w:t>
            </w:r>
          </w:p>
        </w:tc>
      </w:tr>
      <w:tr>
        <w:trPr>
          <w:trHeight w:val="2595" w:hRule="atLeast"/>
        </w:trPr>
        <w:tc>
          <w:tcPr>
            <w:tcW w:w="7020" w:type="dxa"/>
            <w:tcBorders>
              <w:top w:val="single" w:sz="18" w:space="0" w:color="6F2FA0"/>
              <w:left w:val="single" w:sz="18" w:space="0" w:color="6F2FA0"/>
              <w:bottom w:val="single" w:sz="18" w:space="0" w:color="6F2FA0"/>
              <w:right w:val="single" w:sz="18" w:space="0" w:color="6F2FA0"/>
            </w:tcBorders>
            <w:shd w:color="auto" w:fill="FAFAFD" w:val="clear"/>
            <w:vAlign w:val="center"/>
          </w:tcPr>
          <w:p>
            <w:pPr>
              <w:pStyle w:val="Normal"/>
              <w:widowControl/>
              <w:numPr>
                <w:ilvl w:val="0"/>
                <w:numId w:val="20"/>
              </w:numPr>
              <w:spacing w:before="0" w:after="160"/>
              <w:ind w:left="463" w:right="146" w:hanging="360"/>
              <w:jc w:val="both"/>
              <w:rPr>
                <w:rFonts w:ascii="Lexend" w:hAnsi="Lexend" w:eastAsia="Lexend" w:cs="Lexend"/>
                <w:color w:val="ED4FD0"/>
              </w:rPr>
            </w:pPr>
            <w:r>
              <w:rPr>
                <w:rFonts w:eastAsia="Lexend" w:cs="Lexend" w:ascii="Lexend" w:hAnsi="Lexend"/>
                <w:b/>
                <w:color w:val="ED4FD0"/>
              </w:rPr>
              <w:t xml:space="preserve">Certificado de existencia y representación legal de la persona jurídica participante expedido por la autoridad competente </w:t>
            </w:r>
          </w:p>
          <w:p>
            <w:pPr>
              <w:pStyle w:val="Normal"/>
              <w:numPr>
                <w:ilvl w:val="1"/>
                <w:numId w:val="20"/>
              </w:numPr>
              <w:pBdr/>
              <w:tabs>
                <w:tab w:val="clear" w:pos="720"/>
                <w:tab w:val="left" w:pos="823" w:leader="none"/>
                <w:tab w:val="left" w:pos="824" w:leader="none"/>
              </w:tabs>
              <w:spacing w:lineRule="auto" w:line="367" w:before="133" w:after="0"/>
              <w:ind w:left="823" w:right="127" w:hanging="360"/>
              <w:jc w:val="both"/>
              <w:rPr>
                <w:rFonts w:ascii="Lexend Light" w:hAnsi="Lexend Light" w:eastAsia="Lexend Light" w:cs="Lexend Light"/>
              </w:rPr>
            </w:pPr>
            <w:r>
              <w:rPr>
                <w:rFonts w:eastAsia="Lexend Light" w:cs="Lexend Light" w:ascii="Lexend Light" w:hAnsi="Lexend Light"/>
                <w:color w:val="000000"/>
              </w:rPr>
              <w:t>Con fecha de expedición de máximo treinta (30) días antes de la fecha de cierre de la convocatoria.</w:t>
            </w:r>
          </w:p>
          <w:p>
            <w:pPr>
              <w:pStyle w:val="Normal"/>
              <w:numPr>
                <w:ilvl w:val="1"/>
                <w:numId w:val="20"/>
              </w:numPr>
              <w:pBdr/>
              <w:tabs>
                <w:tab w:val="clear" w:pos="720"/>
                <w:tab w:val="left" w:pos="823" w:leader="none"/>
                <w:tab w:val="left" w:pos="824" w:leader="none"/>
              </w:tabs>
              <w:spacing w:lineRule="auto" w:line="367" w:before="1" w:after="0"/>
              <w:ind w:left="823" w:right="127" w:hanging="360"/>
              <w:jc w:val="both"/>
              <w:rPr>
                <w:rFonts w:ascii="Lexend Light" w:hAnsi="Lexend Light" w:eastAsia="Lexend Light" w:cs="Lexend Light"/>
              </w:rPr>
            </w:pPr>
            <w:r>
              <w:rPr>
                <w:rFonts w:eastAsia="Lexend Light" w:cs="Lexend Light" w:ascii="Lexend Light" w:hAnsi="Lexend Light"/>
                <w:color w:val="000000"/>
              </w:rPr>
              <w:t>Si es expedido por la Cámara de Comercio debe registrar la renovación de la matrícula mercantil.</w:t>
            </w:r>
          </w:p>
          <w:p>
            <w:pPr>
              <w:pStyle w:val="Normal"/>
              <w:numPr>
                <w:ilvl w:val="1"/>
                <w:numId w:val="20"/>
              </w:numPr>
              <w:pBdr/>
              <w:tabs>
                <w:tab w:val="clear" w:pos="720"/>
                <w:tab w:val="left" w:pos="823" w:leader="none"/>
                <w:tab w:val="left" w:pos="824" w:leader="none"/>
              </w:tabs>
              <w:spacing w:lineRule="auto" w:line="367" w:before="1" w:after="0"/>
              <w:ind w:left="823" w:right="127" w:hanging="360"/>
              <w:jc w:val="both"/>
              <w:rPr>
                <w:rFonts w:ascii="Lexend Light" w:hAnsi="Lexend Light" w:eastAsia="Lexend Light" w:cs="Lexend Light"/>
              </w:rPr>
            </w:pPr>
            <w:r>
              <w:rPr>
                <w:rFonts w:eastAsia="Lexend Light" w:cs="Lexend Light" w:ascii="Lexend Light" w:hAnsi="Lexend Light"/>
              </w:rPr>
              <w:t>Se debe adjuntar completo con todas sus páginas y en orden.</w:t>
            </w:r>
          </w:p>
        </w:tc>
        <w:tc>
          <w:tcPr>
            <w:tcW w:w="1879" w:type="dxa"/>
            <w:tcBorders>
              <w:top w:val="single" w:sz="18" w:space="0" w:color="6F2FA0"/>
              <w:left w:val="single" w:sz="18" w:space="0" w:color="6F2FA0"/>
              <w:bottom w:val="single" w:sz="18" w:space="0" w:color="6F2FA0"/>
              <w:right w:val="single" w:sz="18" w:space="0" w:color="6F2FA0"/>
            </w:tcBorders>
            <w:shd w:color="auto" w:fill="ECF1FA" w:val="clear"/>
            <w:vAlign w:val="center"/>
          </w:tcPr>
          <w:p>
            <w:pPr>
              <w:pStyle w:val="Normal"/>
              <w:pBdr/>
              <w:rPr>
                <w:rFonts w:ascii="Lexend Light" w:hAnsi="Lexend Light" w:eastAsia="Lexend Light" w:cs="Lexend Light"/>
                <w:color w:val="000000"/>
              </w:rPr>
            </w:pPr>
            <w:r>
              <w:rPr>
                <w:rFonts w:eastAsia="Lexend Light" w:cs="Lexend Light" w:ascii="Lexend Light" w:hAnsi="Lexend Light"/>
                <w:color w:val="000000"/>
              </w:rPr>
            </w:r>
          </w:p>
          <w:p>
            <w:pPr>
              <w:pStyle w:val="Normal"/>
              <w:pBdr/>
              <w:ind w:left="820" w:right="783" w:hanging="0"/>
              <w:jc w:val="center"/>
              <w:rPr>
                <w:rFonts w:ascii="Lexend Light" w:hAnsi="Lexend Light" w:eastAsia="Lexend Light" w:cs="Lexend Light"/>
                <w:color w:val="000000"/>
              </w:rPr>
            </w:pPr>
            <w:r>
              <w:rPr>
                <w:rFonts w:eastAsia="Lexend Light" w:cs="Lexend Light" w:ascii="Lexend Light" w:hAnsi="Lexend Light"/>
                <w:color w:val="000000"/>
              </w:rPr>
              <w:t>Si</w:t>
            </w:r>
          </w:p>
        </w:tc>
      </w:tr>
      <w:tr>
        <w:trPr>
          <w:trHeight w:val="1494" w:hRule="atLeast"/>
        </w:trPr>
        <w:tc>
          <w:tcPr>
            <w:tcW w:w="7020" w:type="dxa"/>
            <w:tcBorders>
              <w:top w:val="single" w:sz="18" w:space="0" w:color="6F2FA0"/>
              <w:left w:val="single" w:sz="18" w:space="0" w:color="6F2FA0"/>
              <w:bottom w:val="single" w:sz="18" w:space="0" w:color="6F2FA0"/>
              <w:right w:val="single" w:sz="18" w:space="0" w:color="6F2FA0"/>
            </w:tcBorders>
            <w:shd w:color="auto" w:fill="FAFAFD" w:val="clear"/>
            <w:vAlign w:val="center"/>
          </w:tcPr>
          <w:p>
            <w:pPr>
              <w:pStyle w:val="Normal"/>
              <w:widowControl/>
              <w:numPr>
                <w:ilvl w:val="0"/>
                <w:numId w:val="20"/>
              </w:numPr>
              <w:spacing w:before="0" w:after="160"/>
              <w:ind w:left="463" w:right="146" w:hanging="360"/>
              <w:jc w:val="both"/>
              <w:rPr>
                <w:rFonts w:ascii="Lexend" w:hAnsi="Lexend" w:eastAsia="Lexend" w:cs="Lexend"/>
                <w:color w:val="ED4FD0"/>
              </w:rPr>
            </w:pPr>
            <w:r>
              <w:rPr>
                <w:rFonts w:eastAsia="Lexend" w:cs="Lexend" w:ascii="Lexend" w:hAnsi="Lexend"/>
                <w:b/>
                <w:color w:val="ED4FD0"/>
              </w:rPr>
              <w:t>Estatutos de la entidad participante</w:t>
            </w:r>
          </w:p>
          <w:p>
            <w:pPr>
              <w:pStyle w:val="Normal"/>
              <w:numPr>
                <w:ilvl w:val="1"/>
                <w:numId w:val="19"/>
              </w:numPr>
              <w:pBdr/>
              <w:tabs>
                <w:tab w:val="clear" w:pos="720"/>
                <w:tab w:val="left" w:pos="824" w:leader="none"/>
              </w:tabs>
              <w:ind w:left="823" w:right="127" w:hanging="360"/>
              <w:jc w:val="both"/>
              <w:rPr>
                <w:rFonts w:ascii="Lexend Light" w:hAnsi="Lexend Light" w:eastAsia="Lexend Light" w:cs="Lexend Light"/>
                <w:color w:val="000000"/>
              </w:rPr>
            </w:pPr>
            <w:r>
              <w:rPr>
                <w:rFonts w:eastAsia="Lexend Light" w:cs="Lexend Light" w:ascii="Lexend Light" w:hAnsi="Lexend Light"/>
                <w:color w:val="000000"/>
              </w:rPr>
              <w:t>Únicamente para entidades cuyo certiﬁcado de existencia y representación legal no haya sido expedido por Cámara de Comercio.</w:t>
            </w:r>
          </w:p>
        </w:tc>
        <w:tc>
          <w:tcPr>
            <w:tcW w:w="1879" w:type="dxa"/>
            <w:tcBorders>
              <w:top w:val="single" w:sz="18" w:space="0" w:color="6F2FA0"/>
              <w:left w:val="single" w:sz="18" w:space="0" w:color="6F2FA0"/>
              <w:bottom w:val="single" w:sz="18" w:space="0" w:color="6F2FA0"/>
              <w:right w:val="single" w:sz="18" w:space="0" w:color="6F2FA0"/>
            </w:tcBorders>
            <w:shd w:color="auto" w:fill="ECF1FA" w:val="clear"/>
            <w:vAlign w:val="center"/>
          </w:tcPr>
          <w:p>
            <w:pPr>
              <w:pStyle w:val="Normal"/>
              <w:pBdr/>
              <w:spacing w:before="1" w:after="0"/>
              <w:ind w:left="820" w:right="783" w:hanging="0"/>
              <w:jc w:val="center"/>
              <w:rPr>
                <w:rFonts w:ascii="Lexend Light" w:hAnsi="Lexend Light" w:eastAsia="Lexend Light" w:cs="Lexend Light"/>
                <w:color w:val="000000"/>
              </w:rPr>
            </w:pPr>
            <w:r>
              <w:rPr>
                <w:rFonts w:eastAsia="Lexend Light" w:cs="Lexend Light" w:ascii="Lexend Light" w:hAnsi="Lexend Light"/>
                <w:color w:val="000000"/>
              </w:rPr>
              <w:t>Si</w:t>
            </w:r>
          </w:p>
        </w:tc>
      </w:tr>
      <w:tr>
        <w:trPr>
          <w:trHeight w:val="1115" w:hRule="atLeast"/>
        </w:trPr>
        <w:tc>
          <w:tcPr>
            <w:tcW w:w="7020" w:type="dxa"/>
            <w:tcBorders>
              <w:top w:val="single" w:sz="18" w:space="0" w:color="6F2FA0"/>
              <w:left w:val="single" w:sz="18" w:space="0" w:color="6F2FA0"/>
              <w:bottom w:val="single" w:sz="18" w:space="0" w:color="6F2FA0"/>
              <w:right w:val="single" w:sz="18" w:space="0" w:color="6F2FA0"/>
            </w:tcBorders>
            <w:shd w:color="auto" w:fill="FAFAFD" w:val="clear"/>
            <w:vAlign w:val="center"/>
          </w:tcPr>
          <w:p>
            <w:pPr>
              <w:pStyle w:val="Normal"/>
              <w:widowControl/>
              <w:numPr>
                <w:ilvl w:val="0"/>
                <w:numId w:val="20"/>
              </w:numPr>
              <w:spacing w:before="0" w:after="160"/>
              <w:ind w:left="463" w:right="146" w:hanging="360"/>
              <w:jc w:val="both"/>
              <w:rPr>
                <w:rFonts w:ascii="Lexend" w:hAnsi="Lexend" w:eastAsia="Lexend" w:cs="Lexend"/>
                <w:color w:val="ED4FD0"/>
              </w:rPr>
            </w:pPr>
            <w:r>
              <w:rPr>
                <w:rFonts w:eastAsia="Lexend" w:cs="Lexend" w:ascii="Lexend" w:hAnsi="Lexend"/>
                <w:b/>
                <w:color w:val="ED4FD0"/>
              </w:rPr>
              <w:t>Certiﬁcado de inspección, vigilancia y control de la entidad participante</w:t>
            </w:r>
          </w:p>
          <w:p>
            <w:pPr>
              <w:pStyle w:val="Normal"/>
              <w:numPr>
                <w:ilvl w:val="1"/>
                <w:numId w:val="18"/>
              </w:numPr>
              <w:pBdr/>
              <w:tabs>
                <w:tab w:val="clear" w:pos="720"/>
                <w:tab w:val="left" w:pos="823" w:leader="none"/>
                <w:tab w:val="left" w:pos="824" w:leader="none"/>
              </w:tabs>
              <w:ind w:left="823" w:hanging="361"/>
              <w:rPr>
                <w:rFonts w:ascii="Lexend Light" w:hAnsi="Lexend Light" w:eastAsia="Lexend Light" w:cs="Lexend Light"/>
                <w:color w:val="000000"/>
              </w:rPr>
            </w:pPr>
            <w:r>
              <w:rPr>
                <w:rFonts w:eastAsia="Lexend Light" w:cs="Lexend Light" w:ascii="Lexend Light" w:hAnsi="Lexend Light"/>
                <w:color w:val="000000"/>
              </w:rPr>
              <w:t>Correspondiente al año 2023, vigente y sin observaciones.</w:t>
            </w:r>
          </w:p>
          <w:p>
            <w:pPr>
              <w:pStyle w:val="Normal"/>
              <w:pBdr/>
              <w:tabs>
                <w:tab w:val="clear" w:pos="720"/>
                <w:tab w:val="left" w:pos="823" w:leader="none"/>
                <w:tab w:val="left" w:pos="824" w:leader="none"/>
              </w:tabs>
              <w:rPr>
                <w:rFonts w:ascii="Lexend Light" w:hAnsi="Lexend Light" w:eastAsia="Lexend Light" w:cs="Lexend Light"/>
              </w:rPr>
            </w:pPr>
            <w:r>
              <w:rPr>
                <w:rFonts w:eastAsia="Lexend Light" w:cs="Lexend Light" w:ascii="Lexend Light" w:hAnsi="Lexend Light"/>
              </w:rPr>
            </w:r>
          </w:p>
        </w:tc>
        <w:tc>
          <w:tcPr>
            <w:tcW w:w="1879" w:type="dxa"/>
            <w:tcBorders>
              <w:top w:val="single" w:sz="18" w:space="0" w:color="6F2FA0"/>
              <w:left w:val="single" w:sz="18" w:space="0" w:color="6F2FA0"/>
              <w:bottom w:val="single" w:sz="18" w:space="0" w:color="6F2FA0"/>
              <w:right w:val="single" w:sz="18" w:space="0" w:color="6F2FA0"/>
            </w:tcBorders>
            <w:shd w:color="auto" w:fill="ECF1FA" w:val="clear"/>
            <w:vAlign w:val="center"/>
          </w:tcPr>
          <w:p>
            <w:pPr>
              <w:pStyle w:val="Normal"/>
              <w:pBdr/>
              <w:spacing w:before="1" w:after="0"/>
              <w:ind w:left="820" w:right="783" w:hanging="0"/>
              <w:jc w:val="center"/>
              <w:rPr>
                <w:rFonts w:ascii="Lexend Light" w:hAnsi="Lexend Light" w:eastAsia="Lexend Light" w:cs="Lexend Light"/>
                <w:color w:val="000000"/>
              </w:rPr>
            </w:pPr>
            <w:r>
              <w:rPr>
                <w:rFonts w:eastAsia="Lexend Light" w:cs="Lexend Light" w:ascii="Lexend Light" w:hAnsi="Lexend Light"/>
                <w:color w:val="000000"/>
              </w:rPr>
              <w:t>Si</w:t>
            </w:r>
          </w:p>
        </w:tc>
      </w:tr>
      <w:tr>
        <w:trPr>
          <w:trHeight w:val="1095" w:hRule="atLeast"/>
        </w:trPr>
        <w:tc>
          <w:tcPr>
            <w:tcW w:w="7020" w:type="dxa"/>
            <w:tcBorders>
              <w:top w:val="single" w:sz="18" w:space="0" w:color="6F2FA0"/>
              <w:left w:val="single" w:sz="18" w:space="0" w:color="6F2FA0"/>
              <w:bottom w:val="single" w:sz="18" w:space="0" w:color="6F2FA0"/>
              <w:right w:val="single" w:sz="18" w:space="0" w:color="6F2FA0"/>
            </w:tcBorders>
            <w:shd w:color="auto" w:fill="FAFAFD" w:val="clear"/>
            <w:vAlign w:val="center"/>
          </w:tcPr>
          <w:p>
            <w:pPr>
              <w:pStyle w:val="Normal"/>
              <w:widowControl/>
              <w:numPr>
                <w:ilvl w:val="0"/>
                <w:numId w:val="20"/>
              </w:numPr>
              <w:spacing w:before="0" w:after="160"/>
              <w:ind w:left="463" w:right="146" w:hanging="360"/>
              <w:jc w:val="both"/>
              <w:rPr>
                <w:rFonts w:ascii="Lexend" w:hAnsi="Lexend" w:eastAsia="Lexend" w:cs="Lexend"/>
                <w:color w:val="ED4FD0"/>
              </w:rPr>
            </w:pPr>
            <w:r>
              <w:rPr>
                <w:rFonts w:eastAsia="Lexend" w:cs="Lexend" w:ascii="Lexend" w:hAnsi="Lexend"/>
                <w:b/>
                <w:color w:val="ED4FD0"/>
              </w:rPr>
              <w:t>Documento de identidad del representante legal de la entidad participante</w:t>
            </w:r>
          </w:p>
          <w:p>
            <w:pPr>
              <w:pStyle w:val="Normal"/>
              <w:numPr>
                <w:ilvl w:val="1"/>
                <w:numId w:val="18"/>
              </w:numPr>
              <w:pBdr/>
              <w:tabs>
                <w:tab w:val="clear" w:pos="720"/>
                <w:tab w:val="left" w:pos="823" w:leader="none"/>
                <w:tab w:val="left" w:pos="824" w:leader="none"/>
              </w:tabs>
              <w:ind w:left="823" w:hanging="361"/>
              <w:rPr>
                <w:rFonts w:ascii="Lexend Light" w:hAnsi="Lexend Light" w:eastAsia="Lexend Light" w:cs="Lexend Light"/>
                <w:color w:val="000000"/>
              </w:rPr>
            </w:pPr>
            <w:r>
              <w:rPr>
                <w:rFonts w:eastAsia="Lexend Light" w:cs="Lexend Light" w:ascii="Lexend Light" w:hAnsi="Lexend Light"/>
                <w:color w:val="000000"/>
              </w:rPr>
              <w:t>Escáner o copia legible por ambas caras.</w:t>
            </w:r>
          </w:p>
        </w:tc>
        <w:tc>
          <w:tcPr>
            <w:tcW w:w="1879" w:type="dxa"/>
            <w:tcBorders>
              <w:top w:val="single" w:sz="18" w:space="0" w:color="6F2FA0"/>
              <w:left w:val="single" w:sz="18" w:space="0" w:color="6F2FA0"/>
              <w:bottom w:val="single" w:sz="18" w:space="0" w:color="6F2FA0"/>
              <w:right w:val="single" w:sz="18" w:space="0" w:color="6F2FA0"/>
            </w:tcBorders>
            <w:shd w:color="auto" w:fill="ECF1FA" w:val="clear"/>
            <w:vAlign w:val="center"/>
          </w:tcPr>
          <w:p>
            <w:pPr>
              <w:pStyle w:val="Normal"/>
              <w:pBdr/>
              <w:ind w:left="820" w:right="783" w:hanging="0"/>
              <w:jc w:val="center"/>
              <w:rPr>
                <w:rFonts w:ascii="Lexend Light" w:hAnsi="Lexend Light" w:eastAsia="Lexend Light" w:cs="Lexend Light"/>
                <w:color w:val="000000"/>
              </w:rPr>
            </w:pPr>
            <w:r>
              <w:rPr>
                <w:rFonts w:eastAsia="Lexend Light" w:cs="Lexend Light" w:ascii="Lexend Light" w:hAnsi="Lexend Light"/>
                <w:color w:val="000000"/>
              </w:rPr>
              <w:t>Si</w:t>
            </w:r>
          </w:p>
        </w:tc>
      </w:tr>
      <w:tr>
        <w:trPr>
          <w:trHeight w:val="1095" w:hRule="atLeast"/>
        </w:trPr>
        <w:tc>
          <w:tcPr>
            <w:tcW w:w="7020" w:type="dxa"/>
            <w:tcBorders>
              <w:top w:val="single" w:sz="18" w:space="0" w:color="6F2FA0"/>
              <w:left w:val="single" w:sz="18" w:space="0" w:color="6F2FA0"/>
              <w:bottom w:val="single" w:sz="18" w:space="0" w:color="6F2FA0"/>
              <w:right w:val="single" w:sz="18" w:space="0" w:color="6F2FA0"/>
            </w:tcBorders>
            <w:shd w:color="auto" w:fill="FAFAFD" w:val="clear"/>
            <w:vAlign w:val="center"/>
          </w:tcPr>
          <w:p>
            <w:pPr>
              <w:pStyle w:val="Normal"/>
              <w:numPr>
                <w:ilvl w:val="0"/>
                <w:numId w:val="20"/>
              </w:numPr>
              <w:pBdr/>
              <w:tabs>
                <w:tab w:val="clear" w:pos="720"/>
                <w:tab w:val="left" w:pos="464" w:leader="none"/>
              </w:tabs>
              <w:spacing w:lineRule="auto" w:line="372" w:before="6" w:after="0"/>
              <w:ind w:left="463" w:right="66" w:hanging="360"/>
              <w:rPr>
                <w:rFonts w:ascii="Lexend" w:hAnsi="Lexend" w:eastAsia="Lexend" w:cs="Lexend"/>
                <w:color w:val="ED4FD0"/>
              </w:rPr>
            </w:pPr>
            <w:r>
              <w:rPr>
                <w:rFonts w:eastAsia="Lexend" w:cs="Lexend" w:ascii="Lexend" w:hAnsi="Lexend"/>
                <w:b/>
                <w:color w:val="ED4FD0"/>
              </w:rPr>
              <w:t>Autorización al representante legal para suscribir contratos con la SCRD y sus entidades adscritas</w:t>
            </w:r>
          </w:p>
          <w:p>
            <w:pPr>
              <w:pStyle w:val="Normal"/>
              <w:numPr>
                <w:ilvl w:val="1"/>
                <w:numId w:val="20"/>
              </w:numPr>
              <w:pBdr/>
              <w:tabs>
                <w:tab w:val="clear" w:pos="720"/>
                <w:tab w:val="left" w:pos="824" w:leader="none"/>
              </w:tabs>
              <w:spacing w:lineRule="auto" w:line="367" w:before="1" w:after="0"/>
              <w:ind w:left="823" w:right="65" w:hanging="360"/>
              <w:jc w:val="both"/>
              <w:rPr>
                <w:rFonts w:ascii="Lexend Light" w:hAnsi="Lexend Light" w:eastAsia="Lexend Light" w:cs="Lexend Light"/>
              </w:rPr>
            </w:pPr>
            <w:r>
              <w:rPr>
                <w:rFonts w:eastAsia="Lexend Light" w:cs="Lexend Light" w:ascii="Lexend Light" w:hAnsi="Lexend Light"/>
                <w:color w:val="000000"/>
              </w:rPr>
              <w:t>Expedida y ﬁrmada por la autoridad competente dentro de la entidad (junta directiva, asamblea, consejo, etc.).</w:t>
            </w:r>
          </w:p>
          <w:p>
            <w:pPr>
              <w:pStyle w:val="Normal"/>
              <w:numPr>
                <w:ilvl w:val="1"/>
                <w:numId w:val="20"/>
              </w:numPr>
              <w:pBdr/>
              <w:tabs>
                <w:tab w:val="clear" w:pos="720"/>
                <w:tab w:val="left" w:pos="824" w:leader="none"/>
              </w:tabs>
              <w:spacing w:lineRule="auto" w:line="367" w:before="1" w:after="0"/>
              <w:ind w:left="823" w:right="104" w:hanging="360"/>
              <w:jc w:val="both"/>
              <w:rPr>
                <w:rFonts w:ascii="Lexend Light" w:hAnsi="Lexend Light" w:eastAsia="Lexend Light" w:cs="Lexend Light"/>
              </w:rPr>
            </w:pPr>
            <w:r>
              <w:rPr>
                <w:rFonts w:eastAsia="Lexend Light" w:cs="Lexend Light" w:ascii="Lexend Light" w:hAnsi="Lexend Light"/>
                <w:color w:val="000000"/>
              </w:rPr>
              <w:t xml:space="preserve">Firmada por la mayoría requerida, de conformidad con los estatutos de la entidad. Para las entidades en las cuales los estatutos no establezcan quien la debe firmar, deberá estar ﬁrmada por la mitad más uno de los </w:t>
            </w:r>
            <w:r>
              <w:rPr>
                <w:rFonts w:eastAsia="Lexend Light" w:cs="Lexend Light" w:ascii="Lexend Light" w:hAnsi="Lexend Light"/>
              </w:rPr>
              <w:t xml:space="preserve">integrantes de su junta directiva </w:t>
            </w:r>
            <w:r>
              <w:rPr>
                <w:rFonts w:eastAsia="Lexend Light" w:cs="Lexend Light" w:ascii="Lexend Light" w:hAnsi="Lexend Light"/>
                <w:color w:val="000000"/>
              </w:rPr>
              <w:t>que estén debidamente registrados</w:t>
            </w:r>
          </w:p>
          <w:p>
            <w:pPr>
              <w:pStyle w:val="Normal"/>
              <w:numPr>
                <w:ilvl w:val="1"/>
                <w:numId w:val="20"/>
              </w:numPr>
              <w:pBdr/>
              <w:tabs>
                <w:tab w:val="clear" w:pos="720"/>
                <w:tab w:val="left" w:pos="824" w:leader="none"/>
              </w:tabs>
              <w:spacing w:lineRule="auto" w:line="360" w:before="3" w:after="0"/>
              <w:ind w:left="822" w:right="74" w:hanging="357"/>
              <w:jc w:val="both"/>
              <w:rPr/>
            </w:pPr>
            <w:r>
              <w:rPr>
                <w:rFonts w:eastAsia="Lexend Light" w:cs="Lexend Light" w:ascii="Lexend Light" w:hAnsi="Lexend Light"/>
                <w:color w:val="000000"/>
              </w:rPr>
              <w:t>Con fecha de expedición de máximo treinta (30) días antes de la fecha de cierre de la convocatoria.</w:t>
            </w:r>
          </w:p>
        </w:tc>
        <w:tc>
          <w:tcPr>
            <w:tcW w:w="1879" w:type="dxa"/>
            <w:tcBorders>
              <w:top w:val="single" w:sz="18" w:space="0" w:color="6F2FA0"/>
              <w:left w:val="single" w:sz="18" w:space="0" w:color="6F2FA0"/>
              <w:bottom w:val="single" w:sz="18" w:space="0" w:color="6F2FA0"/>
              <w:right w:val="single" w:sz="18" w:space="0" w:color="6F2FA0"/>
            </w:tcBorders>
            <w:shd w:color="auto" w:fill="ECF1FA" w:val="clear"/>
            <w:vAlign w:val="center"/>
          </w:tcPr>
          <w:p>
            <w:pPr>
              <w:pStyle w:val="Normal"/>
              <w:pBdr/>
              <w:ind w:left="820" w:right="783" w:hanging="0"/>
              <w:jc w:val="center"/>
              <w:rPr>
                <w:rFonts w:ascii="Lexend Light" w:hAnsi="Lexend Light" w:eastAsia="Lexend Light" w:cs="Lexend Light"/>
                <w:color w:val="000000"/>
              </w:rPr>
            </w:pPr>
            <w:r>
              <w:rPr>
                <w:rFonts w:eastAsia="Lexend Light" w:cs="Lexend Light" w:ascii="Lexend Light" w:hAnsi="Lexend Light"/>
                <w:color w:val="000000"/>
              </w:rPr>
              <w:t>Si</w:t>
            </w:r>
          </w:p>
        </w:tc>
      </w:tr>
      <w:tr>
        <w:trPr>
          <w:trHeight w:val="1095" w:hRule="atLeast"/>
        </w:trPr>
        <w:tc>
          <w:tcPr>
            <w:tcW w:w="7020" w:type="dxa"/>
            <w:tcBorders>
              <w:top w:val="single" w:sz="18" w:space="0" w:color="6F2FA0"/>
              <w:left w:val="single" w:sz="18" w:space="0" w:color="6F2FA0"/>
              <w:bottom w:val="single" w:sz="18" w:space="0" w:color="6F2FA0"/>
              <w:right w:val="single" w:sz="18" w:space="0" w:color="6F2FA0"/>
            </w:tcBorders>
            <w:shd w:color="auto" w:fill="FAFAFD" w:val="clear"/>
            <w:vAlign w:val="center"/>
          </w:tcPr>
          <w:p>
            <w:pPr>
              <w:pStyle w:val="Normal"/>
              <w:numPr>
                <w:ilvl w:val="0"/>
                <w:numId w:val="20"/>
              </w:numPr>
              <w:pBdr/>
              <w:tabs>
                <w:tab w:val="clear" w:pos="720"/>
                <w:tab w:val="left" w:pos="464" w:leader="none"/>
              </w:tabs>
              <w:spacing w:lineRule="auto" w:line="372" w:before="6" w:after="0"/>
              <w:ind w:left="463" w:right="66" w:hanging="360"/>
              <w:rPr>
                <w:rFonts w:ascii="Lexend" w:hAnsi="Lexend" w:eastAsia="Lexend" w:cs="Lexend"/>
                <w:color w:val="ED4FD0"/>
              </w:rPr>
            </w:pPr>
            <w:r>
              <w:rPr>
                <w:rFonts w:eastAsia="Lexend" w:cs="Lexend" w:ascii="Lexend" w:hAnsi="Lexend"/>
                <w:b/>
                <w:color w:val="ED4FD0"/>
              </w:rPr>
              <w:t>RUT – Registro Único Tributario</w:t>
            </w:r>
          </w:p>
          <w:p>
            <w:pPr>
              <w:pStyle w:val="Normal"/>
              <w:numPr>
                <w:ilvl w:val="1"/>
                <w:numId w:val="20"/>
              </w:numPr>
              <w:pBdr/>
              <w:tabs>
                <w:tab w:val="clear" w:pos="720"/>
                <w:tab w:val="left" w:pos="824" w:leader="none"/>
              </w:tabs>
              <w:spacing w:lineRule="auto" w:line="367" w:before="1" w:after="0"/>
              <w:ind w:left="823" w:right="65" w:hanging="360"/>
              <w:jc w:val="both"/>
              <w:rPr>
                <w:rFonts w:ascii="Lexend Light" w:hAnsi="Lexend Light" w:eastAsia="Lexend Light" w:cs="Lexend Light"/>
              </w:rPr>
            </w:pPr>
            <w:r>
              <w:rPr>
                <w:rFonts w:eastAsia="Lexend Light" w:cs="Lexend Light" w:ascii="Lexend Light" w:hAnsi="Lexend Light"/>
                <w:color w:val="000000"/>
              </w:rPr>
              <w:t>Actualizado y con fecha de expedición de máximo treinta (30) días antes de la fecha de cierre de la convocatoria.</w:t>
            </w:r>
          </w:p>
          <w:p>
            <w:pPr>
              <w:pStyle w:val="Normal"/>
              <w:numPr>
                <w:ilvl w:val="1"/>
                <w:numId w:val="20"/>
              </w:numPr>
              <w:pBdr/>
              <w:tabs>
                <w:tab w:val="clear" w:pos="720"/>
                <w:tab w:val="left" w:pos="824" w:leader="none"/>
              </w:tabs>
              <w:spacing w:lineRule="auto" w:line="367" w:before="1" w:after="0"/>
              <w:ind w:left="823" w:right="65" w:hanging="360"/>
              <w:jc w:val="both"/>
              <w:rPr>
                <w:rFonts w:ascii="Lexend Light" w:hAnsi="Lexend Light" w:eastAsia="Lexend Light" w:cs="Lexend Light"/>
              </w:rPr>
            </w:pPr>
            <w:r>
              <w:rPr>
                <w:rFonts w:eastAsia="Lexend Light" w:cs="Lexend Light" w:ascii="Lexend Light" w:hAnsi="Lexend Light"/>
                <w:color w:val="000000"/>
              </w:rPr>
              <w:t>Tenga en cuenta que las actividades económicas registradas en el RUT, deben ser coherentes con actividades incluidas en objeto social o con la clasiﬁcación de actividades económicas-CIIU del Certiﬁcado de inspección, vigilancia y control de la entidad participante.</w:t>
            </w:r>
          </w:p>
          <w:p>
            <w:pPr>
              <w:pStyle w:val="Normal"/>
              <w:widowControl/>
              <w:spacing w:lineRule="auto" w:line="360" w:before="0" w:after="160"/>
              <w:ind w:left="463" w:right="146" w:hanging="0"/>
              <w:jc w:val="both"/>
              <w:rPr>
                <w:rFonts w:ascii="Lexend" w:hAnsi="Lexend" w:eastAsia="Lexend" w:cs="Lexend"/>
                <w:b/>
                <w:b/>
                <w:color w:val="ED4FD0"/>
              </w:rPr>
            </w:pPr>
            <w:r>
              <w:rPr>
                <w:color w:val="EC4ED0"/>
                <w:sz w:val="20"/>
                <w:szCs w:val="20"/>
              </w:rPr>
              <w:t xml:space="preserve">Nota. </w:t>
            </w:r>
            <w:r>
              <w:rPr>
                <w:rFonts w:eastAsia="Lexend Light" w:cs="Lexend Light" w:ascii="Lexend Light" w:hAnsi="Lexend Light"/>
              </w:rPr>
              <w:t xml:space="preserve">La información registrada en el RUT de la entidad participante es la base para determinar y realizar los descuentos tributarios a que haya lugar, en caso de que le sean asignados recursos a su proyecto. Por lo anterior, es </w:t>
            </w:r>
            <w:r>
              <w:rPr>
                <w:rFonts w:eastAsia="Lexend Light" w:cs="Lexend Light" w:ascii="Lexend Light" w:hAnsi="Lexend Light"/>
                <w:b/>
                <w:color w:val="ED4FD0"/>
              </w:rPr>
              <w:t xml:space="preserve">MUY IMPORTANTE </w:t>
            </w:r>
            <w:r>
              <w:rPr>
                <w:rFonts w:eastAsia="Lexend Light" w:cs="Lexend Light" w:ascii="Lexend Light" w:hAnsi="Lexend Light"/>
              </w:rPr>
              <w:t>que la entidad participante se asegure de mantener actualizada esa información.</w:t>
            </w:r>
          </w:p>
        </w:tc>
        <w:tc>
          <w:tcPr>
            <w:tcW w:w="1879" w:type="dxa"/>
            <w:tcBorders>
              <w:top w:val="single" w:sz="18" w:space="0" w:color="6F2FA0"/>
              <w:left w:val="single" w:sz="18" w:space="0" w:color="6F2FA0"/>
              <w:bottom w:val="single" w:sz="18" w:space="0" w:color="6F2FA0"/>
              <w:right w:val="single" w:sz="18" w:space="0" w:color="6F2FA0"/>
            </w:tcBorders>
            <w:shd w:color="auto" w:fill="ECF1FA" w:val="clear"/>
            <w:vAlign w:val="center"/>
          </w:tcPr>
          <w:p>
            <w:pPr>
              <w:pStyle w:val="Normal"/>
              <w:pBdr/>
              <w:ind w:left="820" w:right="783" w:hanging="0"/>
              <w:jc w:val="center"/>
              <w:rPr>
                <w:rFonts w:ascii="Lexend Light" w:hAnsi="Lexend Light" w:eastAsia="Lexend Light" w:cs="Lexend Light"/>
                <w:color w:val="000000"/>
              </w:rPr>
            </w:pPr>
            <w:r>
              <w:rPr>
                <w:rFonts w:eastAsia="Lexend Light" w:cs="Lexend Light" w:ascii="Lexend Light" w:hAnsi="Lexend Light"/>
                <w:color w:val="000000"/>
              </w:rPr>
              <w:t>Si</w:t>
            </w:r>
          </w:p>
        </w:tc>
      </w:tr>
      <w:tr>
        <w:trPr>
          <w:trHeight w:val="1095" w:hRule="atLeast"/>
        </w:trPr>
        <w:tc>
          <w:tcPr>
            <w:tcW w:w="7020" w:type="dxa"/>
            <w:tcBorders>
              <w:top w:val="single" w:sz="18" w:space="0" w:color="6F2FA0"/>
              <w:left w:val="single" w:sz="18" w:space="0" w:color="6F2FA0"/>
              <w:bottom w:val="single" w:sz="18" w:space="0" w:color="6F2FA0"/>
              <w:right w:val="single" w:sz="18" w:space="0" w:color="6F2FA0"/>
            </w:tcBorders>
            <w:shd w:color="auto" w:fill="FAFAFD" w:val="clear"/>
            <w:vAlign w:val="center"/>
          </w:tcPr>
          <w:p>
            <w:pPr>
              <w:pStyle w:val="Normal"/>
              <w:numPr>
                <w:ilvl w:val="0"/>
                <w:numId w:val="20"/>
              </w:numPr>
              <w:pBdr/>
              <w:tabs>
                <w:tab w:val="clear" w:pos="720"/>
                <w:tab w:val="left" w:pos="464" w:leader="none"/>
              </w:tabs>
              <w:spacing w:lineRule="auto" w:line="372" w:before="6" w:after="0"/>
              <w:ind w:left="463" w:right="66" w:hanging="360"/>
              <w:rPr>
                <w:rFonts w:ascii="Lexend" w:hAnsi="Lexend" w:eastAsia="Lexend" w:cs="Lexend"/>
                <w:color w:val="ED4FD0"/>
              </w:rPr>
            </w:pPr>
            <w:r>
              <w:rPr>
                <w:rFonts w:eastAsia="Lexend" w:cs="Lexend" w:ascii="Lexend" w:hAnsi="Lexend"/>
                <w:b/>
                <w:color w:val="ED4FD0"/>
              </w:rPr>
              <w:t>RIT - Registro de Información Tributaria</w:t>
            </w:r>
          </w:p>
          <w:p>
            <w:pPr>
              <w:pStyle w:val="Normal"/>
              <w:widowControl/>
              <w:numPr>
                <w:ilvl w:val="0"/>
                <w:numId w:val="26"/>
              </w:numPr>
              <w:spacing w:lineRule="auto" w:line="360" w:before="0" w:after="160"/>
              <w:ind w:left="720" w:right="129" w:hanging="360"/>
              <w:jc w:val="both"/>
              <w:rPr>
                <w:rFonts w:ascii="Lexend Light" w:hAnsi="Lexend Light" w:eastAsia="Lexend Light" w:cs="Lexend Light"/>
              </w:rPr>
            </w:pPr>
            <w:r>
              <w:rPr>
                <w:rFonts w:eastAsia="Lexend Light" w:cs="Lexend Light" w:ascii="Lexend Light" w:hAnsi="Lexend Light"/>
              </w:rPr>
              <w:t>Actualizado y con fecha de expedición de máximo treinta (30) días antes de la fecha de cierre de la convocatoria.</w:t>
            </w:r>
          </w:p>
          <w:p>
            <w:pPr>
              <w:pStyle w:val="Normal"/>
              <w:widowControl/>
              <w:numPr>
                <w:ilvl w:val="0"/>
                <w:numId w:val="26"/>
              </w:numPr>
              <w:spacing w:lineRule="auto" w:line="360" w:before="0" w:after="160"/>
              <w:ind w:left="720" w:right="129" w:hanging="360"/>
              <w:jc w:val="both"/>
              <w:rPr/>
            </w:pPr>
            <w:r>
              <w:rPr>
                <w:rFonts w:eastAsia="Lexend Light" w:cs="Lexend Light" w:ascii="Lexend Light" w:hAnsi="Lexend Light"/>
              </w:rPr>
              <w:t>En caso de no encontrarse obligada al registro, la entidad debe presentar una certificación firmada por el representante legal en donde así lo manifieste</w:t>
            </w:r>
            <w:r>
              <w:rPr>
                <w:rFonts w:eastAsia="Lexend" w:cs="Lexend" w:ascii="Lexend" w:hAnsi="Lexend"/>
              </w:rPr>
              <w:t>.</w:t>
            </w:r>
          </w:p>
        </w:tc>
        <w:tc>
          <w:tcPr>
            <w:tcW w:w="1879" w:type="dxa"/>
            <w:tcBorders>
              <w:top w:val="single" w:sz="18" w:space="0" w:color="6F2FA0"/>
              <w:left w:val="single" w:sz="18" w:space="0" w:color="6F2FA0"/>
              <w:bottom w:val="single" w:sz="18" w:space="0" w:color="6F2FA0"/>
              <w:right w:val="single" w:sz="18" w:space="0" w:color="6F2FA0"/>
            </w:tcBorders>
            <w:shd w:color="auto" w:fill="ECF1FA" w:val="clear"/>
            <w:vAlign w:val="center"/>
          </w:tcPr>
          <w:p>
            <w:pPr>
              <w:pStyle w:val="Normal"/>
              <w:pBdr/>
              <w:ind w:left="820" w:right="783" w:hanging="0"/>
              <w:jc w:val="center"/>
              <w:rPr>
                <w:rFonts w:ascii="Lexend Light" w:hAnsi="Lexend Light" w:eastAsia="Lexend Light" w:cs="Lexend Light"/>
                <w:color w:val="000000"/>
              </w:rPr>
            </w:pPr>
            <w:r>
              <w:rPr>
                <w:rFonts w:eastAsia="Lexend Light" w:cs="Lexend Light" w:ascii="Lexend Light" w:hAnsi="Lexend Light"/>
                <w:color w:val="000000"/>
              </w:rPr>
              <w:t>Si</w:t>
            </w:r>
          </w:p>
        </w:tc>
      </w:tr>
      <w:tr>
        <w:trPr>
          <w:trHeight w:val="1095" w:hRule="atLeast"/>
        </w:trPr>
        <w:tc>
          <w:tcPr>
            <w:tcW w:w="7020" w:type="dxa"/>
            <w:tcBorders>
              <w:top w:val="single" w:sz="18" w:space="0" w:color="6F2FA0"/>
              <w:left w:val="single" w:sz="18" w:space="0" w:color="6F2FA0"/>
              <w:bottom w:val="single" w:sz="18" w:space="0" w:color="6F2FA0"/>
              <w:right w:val="single" w:sz="18" w:space="0" w:color="6F2FA0"/>
            </w:tcBorders>
            <w:shd w:color="auto" w:fill="FAFAFD" w:val="clear"/>
            <w:vAlign w:val="center"/>
          </w:tcPr>
          <w:p>
            <w:pPr>
              <w:pStyle w:val="Normal"/>
              <w:numPr>
                <w:ilvl w:val="0"/>
                <w:numId w:val="20"/>
              </w:numPr>
              <w:pBdr/>
              <w:tabs>
                <w:tab w:val="clear" w:pos="720"/>
                <w:tab w:val="left" w:pos="464" w:leader="none"/>
              </w:tabs>
              <w:spacing w:lineRule="auto" w:line="372" w:before="6" w:after="0"/>
              <w:ind w:left="463" w:right="66" w:hanging="360"/>
              <w:rPr>
                <w:rFonts w:ascii="Lexend" w:hAnsi="Lexend" w:eastAsia="Lexend" w:cs="Lexend"/>
                <w:color w:val="ED4FD0"/>
              </w:rPr>
            </w:pPr>
            <w:r>
              <w:rPr>
                <w:rFonts w:eastAsia="Lexend" w:cs="Lexend" w:ascii="Lexend" w:hAnsi="Lexend"/>
                <w:b/>
                <w:color w:val="ED4FD0"/>
              </w:rPr>
              <w:t>Certiﬁcado de paz y salvo por concepto de aportes paraﬁscales y de seguridad social</w:t>
            </w:r>
          </w:p>
          <w:p>
            <w:pPr>
              <w:pStyle w:val="Normal"/>
              <w:numPr>
                <w:ilvl w:val="1"/>
                <w:numId w:val="23"/>
              </w:numPr>
              <w:pBdr/>
              <w:tabs>
                <w:tab w:val="clear" w:pos="720"/>
                <w:tab w:val="left" w:pos="824" w:leader="none"/>
              </w:tabs>
              <w:spacing w:lineRule="auto" w:line="367" w:before="1" w:after="0"/>
              <w:ind w:left="823" w:right="69" w:hanging="360"/>
              <w:jc w:val="both"/>
              <w:rPr>
                <w:rFonts w:ascii="Lexend Light" w:hAnsi="Lexend Light" w:eastAsia="Lexend Light" w:cs="Lexend Light"/>
                <w:color w:val="000000"/>
              </w:rPr>
            </w:pPr>
            <w:r>
              <w:rPr>
                <w:rFonts w:eastAsia="Lexend Light" w:cs="Lexend Light" w:ascii="Lexend Light" w:hAnsi="Lexend Light"/>
                <w:color w:val="000000"/>
              </w:rPr>
              <w:t>Debe señalar que la entidad se encuentra al día en esta obligación durante los últimos seis (6) meses</w:t>
            </w:r>
            <w:r>
              <w:rPr>
                <w:rFonts w:eastAsia="Lexend Light" w:cs="Lexend Light" w:ascii="Lexend Light" w:hAnsi="Lexend Light"/>
              </w:rPr>
              <w:t xml:space="preserve">, </w:t>
            </w:r>
            <w:r>
              <w:rPr>
                <w:rFonts w:eastAsia="Lexend Light" w:cs="Lexend Light" w:ascii="Lexend Light" w:hAnsi="Lexend Light"/>
                <w:color w:val="000000"/>
              </w:rPr>
              <w:t xml:space="preserve">o </w:t>
            </w:r>
            <w:r>
              <w:rPr>
                <w:rFonts w:eastAsia="Lexend Light" w:cs="Lexend Light" w:ascii="Lexend Light" w:hAnsi="Lexend Light"/>
              </w:rPr>
              <w:t xml:space="preserve">de ser el caso, </w:t>
            </w:r>
            <w:r>
              <w:rPr>
                <w:rFonts w:eastAsia="Lexend Light" w:cs="Lexend Light" w:ascii="Lexend Light" w:hAnsi="Lexend Light"/>
                <w:color w:val="000000"/>
              </w:rPr>
              <w:t>mani</w:t>
            </w:r>
            <w:r>
              <w:rPr>
                <w:rFonts w:eastAsia="Lexend Light" w:cs="Lexend Light" w:ascii="Lexend Light" w:hAnsi="Lexend Light"/>
              </w:rPr>
              <w:t>festar</w:t>
            </w:r>
            <w:r>
              <w:rPr>
                <w:rFonts w:eastAsia="Lexend Light" w:cs="Lexend Light" w:ascii="Lexend Light" w:hAnsi="Lexend Light"/>
                <w:color w:val="000000"/>
              </w:rPr>
              <w:t xml:space="preserve"> que no se encuentra obligado.</w:t>
            </w:r>
          </w:p>
          <w:p>
            <w:pPr>
              <w:pStyle w:val="Normal"/>
              <w:numPr>
                <w:ilvl w:val="1"/>
                <w:numId w:val="23"/>
              </w:numPr>
              <w:pBdr/>
              <w:tabs>
                <w:tab w:val="clear" w:pos="720"/>
                <w:tab w:val="left" w:pos="824" w:leader="none"/>
              </w:tabs>
              <w:spacing w:lineRule="auto" w:line="367" w:before="2" w:after="0"/>
              <w:ind w:left="823" w:right="70" w:hanging="360"/>
              <w:jc w:val="both"/>
              <w:rPr>
                <w:rFonts w:ascii="Lexend Light" w:hAnsi="Lexend Light" w:eastAsia="Lexend Light" w:cs="Lexend Light"/>
                <w:color w:val="000000"/>
              </w:rPr>
            </w:pPr>
            <w:r>
              <w:rPr>
                <w:rFonts w:eastAsia="Lexend Light" w:cs="Lexend Light" w:ascii="Lexend Light" w:hAnsi="Lexend Light"/>
                <w:color w:val="000000"/>
              </w:rPr>
              <w:t>Firmado por el representante legal o el revisor ﬁscal de la entidad.</w:t>
            </w:r>
          </w:p>
          <w:p>
            <w:pPr>
              <w:pStyle w:val="Normal"/>
              <w:numPr>
                <w:ilvl w:val="1"/>
                <w:numId w:val="23"/>
              </w:numPr>
              <w:pBdr/>
              <w:tabs>
                <w:tab w:val="clear" w:pos="720"/>
                <w:tab w:val="left" w:pos="824" w:leader="none"/>
              </w:tabs>
              <w:spacing w:lineRule="auto" w:line="360" w:before="1" w:after="0"/>
              <w:ind w:left="823" w:right="127" w:hanging="361"/>
              <w:jc w:val="both"/>
              <w:rPr>
                <w:rFonts w:ascii="Lexend Light" w:hAnsi="Lexend Light" w:eastAsia="Lexend Light" w:cs="Lexend Light"/>
                <w:color w:val="000000"/>
              </w:rPr>
            </w:pPr>
            <w:r>
              <w:rPr>
                <w:rFonts w:eastAsia="Lexend Light" w:cs="Lexend Light" w:ascii="Lexend Light" w:hAnsi="Lexend Light"/>
                <w:color w:val="000000"/>
              </w:rPr>
              <w:t>Con fecha de expedición de máximo treinta (30) días antes de la fecha de cierre de la convocatoria.</w:t>
            </w:r>
          </w:p>
        </w:tc>
        <w:tc>
          <w:tcPr>
            <w:tcW w:w="1879" w:type="dxa"/>
            <w:tcBorders>
              <w:top w:val="single" w:sz="18" w:space="0" w:color="6F2FA0"/>
              <w:left w:val="single" w:sz="18" w:space="0" w:color="6F2FA0"/>
              <w:bottom w:val="single" w:sz="18" w:space="0" w:color="6F2FA0"/>
              <w:right w:val="single" w:sz="18" w:space="0" w:color="6F2FA0"/>
            </w:tcBorders>
            <w:shd w:color="auto" w:fill="ECF1FA" w:val="clear"/>
            <w:vAlign w:val="center"/>
          </w:tcPr>
          <w:p>
            <w:pPr>
              <w:pStyle w:val="Normal"/>
              <w:pBdr/>
              <w:ind w:left="820" w:right="783" w:hanging="0"/>
              <w:jc w:val="center"/>
              <w:rPr>
                <w:rFonts w:ascii="Lexend Light" w:hAnsi="Lexend Light" w:eastAsia="Lexend Light" w:cs="Lexend Light"/>
                <w:color w:val="000000"/>
              </w:rPr>
            </w:pPr>
            <w:r>
              <w:rPr>
                <w:rFonts w:eastAsia="Lexend Light" w:cs="Lexend Light" w:ascii="Lexend Light" w:hAnsi="Lexend Light"/>
                <w:color w:val="000000"/>
              </w:rPr>
              <w:t>Si</w:t>
            </w:r>
          </w:p>
        </w:tc>
      </w:tr>
      <w:tr>
        <w:trPr>
          <w:trHeight w:val="1095" w:hRule="atLeast"/>
        </w:trPr>
        <w:tc>
          <w:tcPr>
            <w:tcW w:w="7020" w:type="dxa"/>
            <w:tcBorders>
              <w:top w:val="single" w:sz="18" w:space="0" w:color="6F2FA0"/>
              <w:left w:val="single" w:sz="18" w:space="0" w:color="6F2FA0"/>
              <w:bottom w:val="single" w:sz="18" w:space="0" w:color="6F2FA0"/>
              <w:right w:val="single" w:sz="18" w:space="0" w:color="6F2FA0"/>
            </w:tcBorders>
            <w:shd w:color="auto" w:fill="FAFAFD" w:val="clear"/>
            <w:vAlign w:val="center"/>
          </w:tcPr>
          <w:p>
            <w:pPr>
              <w:pStyle w:val="Normal"/>
              <w:numPr>
                <w:ilvl w:val="0"/>
                <w:numId w:val="20"/>
              </w:numPr>
              <w:pBdr/>
              <w:tabs>
                <w:tab w:val="clear" w:pos="720"/>
                <w:tab w:val="left" w:pos="464" w:leader="none"/>
              </w:tabs>
              <w:spacing w:lineRule="auto" w:line="372" w:before="6" w:after="0"/>
              <w:ind w:left="463" w:right="66" w:hanging="360"/>
              <w:rPr>
                <w:rFonts w:ascii="Lexend" w:hAnsi="Lexend" w:eastAsia="Lexend" w:cs="Lexend"/>
                <w:color w:val="ED4FD0"/>
              </w:rPr>
            </w:pPr>
            <w:r>
              <w:rPr>
                <w:rFonts w:eastAsia="Lexend" w:cs="Lexend" w:ascii="Lexend" w:hAnsi="Lexend"/>
                <w:b/>
                <w:color w:val="ED4FD0"/>
              </w:rPr>
              <w:t xml:space="preserve">Certiﬁcación sobre personas expuestas políticamente </w:t>
            </w:r>
          </w:p>
          <w:p>
            <w:pPr>
              <w:pStyle w:val="Normal"/>
              <w:numPr>
                <w:ilvl w:val="1"/>
                <w:numId w:val="23"/>
              </w:numPr>
              <w:pBdr/>
              <w:tabs>
                <w:tab w:val="clear" w:pos="720"/>
                <w:tab w:val="left" w:pos="824" w:leader="none"/>
              </w:tabs>
              <w:spacing w:lineRule="auto" w:line="367" w:before="1" w:after="0"/>
              <w:ind w:left="823" w:right="69" w:hanging="360"/>
              <w:jc w:val="both"/>
              <w:rPr>
                <w:rFonts w:ascii="Lexend Light" w:hAnsi="Lexend Light" w:eastAsia="Lexend Light" w:cs="Lexend Light"/>
                <w:color w:val="000000"/>
              </w:rPr>
            </w:pPr>
            <w:r>
              <w:rPr>
                <w:rFonts w:eastAsia="Lexend Light" w:cs="Lexend Light" w:ascii="Lexend Light" w:hAnsi="Lexend Light"/>
                <w:color w:val="000000"/>
              </w:rPr>
              <w:t>Debe manifestar si el representante lega</w:t>
            </w:r>
            <w:r>
              <w:rPr>
                <w:rFonts w:eastAsia="Lexend Light" w:cs="Lexend Light" w:ascii="Lexend Light" w:hAnsi="Lexend Light"/>
              </w:rPr>
              <w:t>l y/o</w:t>
            </w:r>
            <w:r>
              <w:rPr>
                <w:rFonts w:eastAsia="Lexend Light" w:cs="Lexend Light" w:ascii="Lexend Light" w:hAnsi="Lexend Light"/>
                <w:color w:val="000000"/>
              </w:rPr>
              <w:t xml:space="preserve"> </w:t>
            </w:r>
            <w:r>
              <w:rPr>
                <w:rFonts w:eastAsia="Lexend Light" w:cs="Lexend Light" w:ascii="Lexend Light" w:hAnsi="Lexend Light"/>
              </w:rPr>
              <w:t xml:space="preserve">los integrantes de la junta directiva de la </w:t>
            </w:r>
            <w:r>
              <w:rPr>
                <w:rFonts w:eastAsia="Lexend Light" w:cs="Lexend Light" w:ascii="Lexend Light" w:hAnsi="Lexend Light"/>
                <w:color w:val="000000"/>
              </w:rPr>
              <w:t xml:space="preserve">persona jurídica, hacen parte de la lista de personas expuestas </w:t>
            </w:r>
            <w:r>
              <w:rPr>
                <w:rFonts w:eastAsia="Lexend Light" w:cs="Lexend Light" w:ascii="Lexend Light" w:hAnsi="Lexend Light"/>
              </w:rPr>
              <w:t>políticamente</w:t>
            </w:r>
            <w:r>
              <w:rPr>
                <w:rFonts w:eastAsia="Lexend Light" w:cs="Lexend Light" w:ascii="Lexend Light" w:hAnsi="Lexend Light"/>
                <w:color w:val="000000"/>
              </w:rPr>
              <w:t>, en cumplimiento de lo establecido en el Decreto 1674 del 21 de octubre de 2016.</w:t>
            </w:r>
          </w:p>
          <w:p>
            <w:pPr>
              <w:pStyle w:val="Normal"/>
              <w:numPr>
                <w:ilvl w:val="1"/>
                <w:numId w:val="23"/>
              </w:numPr>
              <w:pBdr/>
              <w:tabs>
                <w:tab w:val="clear" w:pos="720"/>
                <w:tab w:val="left" w:pos="824" w:leader="none"/>
              </w:tabs>
              <w:spacing w:lineRule="auto" w:line="367" w:before="1" w:after="0"/>
              <w:ind w:left="823" w:right="69" w:hanging="360"/>
              <w:jc w:val="both"/>
              <w:rPr>
                <w:rFonts w:ascii="Lexend Light" w:hAnsi="Lexend Light" w:eastAsia="Lexend Light" w:cs="Lexend Light"/>
                <w:color w:val="000000"/>
              </w:rPr>
            </w:pPr>
            <w:r>
              <w:rPr>
                <w:rFonts w:eastAsia="Lexend Light" w:cs="Lexend Light" w:ascii="Lexend Light" w:hAnsi="Lexend Light"/>
                <w:color w:val="000000"/>
              </w:rPr>
              <w:t>Firmada por el representante legal.</w:t>
            </w:r>
          </w:p>
        </w:tc>
        <w:tc>
          <w:tcPr>
            <w:tcW w:w="1879" w:type="dxa"/>
            <w:tcBorders>
              <w:top w:val="single" w:sz="18" w:space="0" w:color="6F2FA0"/>
              <w:left w:val="single" w:sz="18" w:space="0" w:color="6F2FA0"/>
              <w:bottom w:val="single" w:sz="18" w:space="0" w:color="6F2FA0"/>
              <w:right w:val="single" w:sz="18" w:space="0" w:color="6F2FA0"/>
            </w:tcBorders>
            <w:shd w:color="auto" w:fill="ECF1FA" w:val="clear"/>
            <w:vAlign w:val="center"/>
          </w:tcPr>
          <w:p>
            <w:pPr>
              <w:pStyle w:val="Normal"/>
              <w:pBdr/>
              <w:ind w:left="820" w:right="783" w:hanging="0"/>
              <w:jc w:val="center"/>
              <w:rPr>
                <w:rFonts w:ascii="Lexend Light" w:hAnsi="Lexend Light" w:eastAsia="Lexend Light" w:cs="Lexend Light"/>
                <w:color w:val="000000"/>
              </w:rPr>
            </w:pPr>
            <w:r>
              <w:rPr>
                <w:rFonts w:eastAsia="Lexend Light" w:cs="Lexend Light" w:ascii="Lexend Light" w:hAnsi="Lexend Light"/>
                <w:color w:val="000000"/>
              </w:rPr>
              <w:t>Si</w:t>
            </w:r>
          </w:p>
        </w:tc>
      </w:tr>
      <w:tr>
        <w:trPr>
          <w:trHeight w:val="1095" w:hRule="atLeast"/>
        </w:trPr>
        <w:tc>
          <w:tcPr>
            <w:tcW w:w="7020" w:type="dxa"/>
            <w:tcBorders>
              <w:top w:val="single" w:sz="18" w:space="0" w:color="6F2FA0"/>
              <w:left w:val="single" w:sz="18" w:space="0" w:color="6F2FA0"/>
              <w:bottom w:val="single" w:sz="18" w:space="0" w:color="6F2FA0"/>
              <w:right w:val="single" w:sz="18" w:space="0" w:color="6F2FA0"/>
            </w:tcBorders>
            <w:shd w:color="auto" w:fill="FAFAFD" w:val="clear"/>
            <w:vAlign w:val="center"/>
          </w:tcPr>
          <w:p>
            <w:pPr>
              <w:pStyle w:val="Normal"/>
              <w:numPr>
                <w:ilvl w:val="0"/>
                <w:numId w:val="20"/>
              </w:numPr>
              <w:pBdr/>
              <w:spacing w:lineRule="auto" w:line="372" w:before="6" w:after="0"/>
              <w:ind w:left="463" w:right="66" w:hanging="360"/>
              <w:rPr>
                <w:rFonts w:ascii="Lexend" w:hAnsi="Lexend" w:eastAsia="Lexend" w:cs="Lexend"/>
                <w:color w:val="ED4FD0"/>
              </w:rPr>
            </w:pPr>
            <w:r>
              <w:rPr>
                <w:rFonts w:eastAsia="Lexend" w:cs="Lexend" w:ascii="Lexend" w:hAnsi="Lexend"/>
                <w:b/>
                <w:color w:val="ED4FD0"/>
              </w:rPr>
              <w:t>Certiﬁcaciones de ejecución o actas de liquidación de contratos</w:t>
            </w:r>
          </w:p>
          <w:p>
            <w:pPr>
              <w:pStyle w:val="Normal"/>
              <w:numPr>
                <w:ilvl w:val="1"/>
                <w:numId w:val="20"/>
              </w:numPr>
              <w:pBdr/>
              <w:tabs>
                <w:tab w:val="clear" w:pos="720"/>
                <w:tab w:val="left" w:pos="839" w:leader="none"/>
              </w:tabs>
              <w:spacing w:lineRule="auto" w:line="367" w:before="1" w:after="0"/>
              <w:ind w:left="823" w:right="69" w:hanging="360"/>
              <w:jc w:val="both"/>
              <w:rPr>
                <w:rFonts w:ascii="Lexend Light" w:hAnsi="Lexend Light" w:eastAsia="Lexend Light" w:cs="Lexend Light"/>
              </w:rPr>
            </w:pPr>
            <w:r>
              <w:rPr>
                <w:rFonts w:eastAsia="Lexend Light" w:cs="Lexend Light" w:ascii="Lexend Light" w:hAnsi="Lexend Light"/>
                <w:color w:val="000000"/>
              </w:rPr>
              <w:t>Mínimo dos (2) con las siguientes características:</w:t>
            </w:r>
          </w:p>
          <w:p>
            <w:pPr>
              <w:pStyle w:val="Normal"/>
              <w:pBdr/>
              <w:spacing w:lineRule="auto" w:line="360" w:before="132" w:after="0"/>
              <w:ind w:left="1198" w:right="59" w:hanging="360"/>
              <w:jc w:val="both"/>
              <w:rPr>
                <w:color w:val="000000"/>
                <w:sz w:val="20"/>
                <w:szCs w:val="20"/>
              </w:rPr>
            </w:pPr>
            <w:r>
              <w:rPr>
                <w:rFonts w:eastAsia="MS PGothic" w:cs="MS PGothic" w:ascii="MS PGothic" w:hAnsi="MS PGothic"/>
                <w:color w:val="EC4ED0"/>
                <w:sz w:val="20"/>
                <w:szCs w:val="20"/>
              </w:rPr>
              <w:t xml:space="preserve">✔ </w:t>
            </w:r>
            <w:r>
              <w:rPr>
                <w:rFonts w:eastAsia="Lexend Light" w:cs="Lexend Light" w:ascii="Lexend Light" w:hAnsi="Lexend Light"/>
                <w:color w:val="000000"/>
              </w:rPr>
              <w:t xml:space="preserve">Expedidas por entidades públicas o privadas con las cuales la entidad participante haya suscrito contratos o convenios en los últimos </w:t>
            </w:r>
            <w:r>
              <w:rPr>
                <w:rFonts w:eastAsia="Lexend Light" w:cs="Lexend Light" w:ascii="Lexend Light" w:hAnsi="Lexend Light"/>
              </w:rPr>
              <w:t xml:space="preserve">siete </w:t>
            </w:r>
            <w:r>
              <w:rPr>
                <w:rFonts w:eastAsia="Lexend Light" w:cs="Lexend Light" w:ascii="Lexend Light" w:hAnsi="Lexend Light"/>
                <w:color w:val="000000"/>
              </w:rPr>
              <w:t>(</w:t>
            </w:r>
            <w:r>
              <w:rPr>
                <w:rFonts w:eastAsia="Lexend Light" w:cs="Lexend Light" w:ascii="Lexend Light" w:hAnsi="Lexend Light"/>
              </w:rPr>
              <w:t>7</w:t>
            </w:r>
            <w:r>
              <w:rPr>
                <w:rFonts w:eastAsia="Lexend Light" w:cs="Lexend Light" w:ascii="Lexend Light" w:hAnsi="Lexend Light"/>
                <w:color w:val="000000"/>
              </w:rPr>
              <w:t>) años.</w:t>
            </w:r>
          </w:p>
          <w:p>
            <w:pPr>
              <w:pStyle w:val="Normal"/>
              <w:pBdr/>
              <w:spacing w:lineRule="auto" w:line="360" w:before="132" w:after="0"/>
              <w:ind w:left="1198" w:right="59" w:hanging="360"/>
              <w:jc w:val="both"/>
              <w:rPr>
                <w:rFonts w:ascii="Lexend Light" w:hAnsi="Lexend Light" w:eastAsia="Lexend Light" w:cs="Lexend Light"/>
                <w:color w:val="000000"/>
              </w:rPr>
            </w:pPr>
            <w:r>
              <w:rPr>
                <w:rFonts w:eastAsia="MS PGothic" w:cs="MS PGothic" w:ascii="MS PGothic" w:hAnsi="MS PGothic"/>
                <w:color w:val="EC4ED0"/>
                <w:sz w:val="20"/>
                <w:szCs w:val="20"/>
              </w:rPr>
              <w:t xml:space="preserve">✔ </w:t>
            </w:r>
            <w:r>
              <w:rPr>
                <w:rFonts w:eastAsia="Lexend Light" w:cs="Lexend Light" w:ascii="Lexend Light" w:hAnsi="Lexend Light"/>
                <w:color w:val="000000"/>
              </w:rPr>
              <w:t>En las que se dé cuenta de su experiencia en la ejecución de contratos en Bogotá D.C., relacionados con proyectos iguales o similares al presentado a la convocatoria.</w:t>
            </w:r>
          </w:p>
          <w:p>
            <w:pPr>
              <w:pStyle w:val="Normal"/>
              <w:pBdr/>
              <w:spacing w:lineRule="auto" w:line="360" w:before="132" w:after="0"/>
              <w:ind w:left="1198" w:right="59" w:hanging="360"/>
              <w:jc w:val="both"/>
              <w:rPr>
                <w:color w:val="000000"/>
                <w:sz w:val="20"/>
                <w:szCs w:val="20"/>
              </w:rPr>
            </w:pPr>
            <w:r>
              <w:rPr>
                <w:rFonts w:eastAsia="MS PGothic" w:cs="MS PGothic" w:ascii="MS PGothic" w:hAnsi="MS PGothic"/>
                <w:color w:val="EC4ED0"/>
                <w:sz w:val="20"/>
                <w:szCs w:val="20"/>
              </w:rPr>
              <w:t xml:space="preserve">✔ </w:t>
            </w:r>
            <w:r>
              <w:rPr>
                <w:rFonts w:eastAsia="Lexend Light" w:cs="Lexend Light" w:ascii="Lexend Light" w:hAnsi="Lexend Light"/>
                <w:color w:val="000000"/>
              </w:rPr>
              <w:t xml:space="preserve">Que el valor que sumen </w:t>
            </w:r>
            <w:r>
              <w:rPr>
                <w:rFonts w:eastAsia="Lexend Light" w:cs="Lexend Light" w:ascii="Lexend Light" w:hAnsi="Lexend Light"/>
              </w:rPr>
              <w:t xml:space="preserve">las </w:t>
            </w:r>
            <w:r>
              <w:rPr>
                <w:rFonts w:eastAsia="Lexend Light" w:cs="Lexend Light" w:ascii="Lexend Light" w:hAnsi="Lexend Light"/>
                <w:color w:val="000000"/>
              </w:rPr>
              <w:t xml:space="preserve">actas o certificaciones </w:t>
            </w:r>
            <w:r>
              <w:rPr>
                <w:rFonts w:eastAsia="Lexend Light" w:cs="Lexend Light" w:ascii="Lexend Light" w:hAnsi="Lexend Light"/>
              </w:rPr>
              <w:t xml:space="preserve">aportadas, </w:t>
            </w:r>
            <w:r>
              <w:rPr>
                <w:rFonts w:eastAsia="Lexend Light" w:cs="Lexend Light" w:ascii="Lexend Light" w:hAnsi="Lexend Light"/>
                <w:color w:val="000000"/>
              </w:rPr>
              <w:t>sea igual o superior al monto del apoyo solicitado.</w:t>
            </w:r>
          </w:p>
          <w:p>
            <w:pPr>
              <w:pStyle w:val="Normal"/>
              <w:pBdr/>
              <w:spacing w:before="20" w:after="0"/>
              <w:ind w:left="838" w:hanging="0"/>
              <w:rPr>
                <w:rFonts w:ascii="Lexend Light" w:hAnsi="Lexend Light" w:eastAsia="Lexend Light" w:cs="Lexend Light"/>
                <w:color w:val="000000"/>
              </w:rPr>
            </w:pPr>
            <w:r>
              <w:rPr>
                <w:rFonts w:eastAsia="MS PGothic" w:cs="MS PGothic" w:ascii="MS PGothic" w:hAnsi="MS PGothic"/>
                <w:color w:val="EC4ED0"/>
                <w:sz w:val="20"/>
                <w:szCs w:val="20"/>
              </w:rPr>
              <w:t xml:space="preserve">✔ </w:t>
            </w:r>
            <w:r>
              <w:rPr>
                <w:rFonts w:eastAsia="Lexend Light" w:cs="Lexend Light" w:ascii="Lexend Light" w:hAnsi="Lexend Light"/>
                <w:color w:val="000000"/>
              </w:rPr>
              <w:t>Que incluyan en cada una de ellas lo siguiente:</w:t>
            </w:r>
          </w:p>
          <w:p>
            <w:pPr>
              <w:pStyle w:val="Normal"/>
              <w:pBdr/>
              <w:spacing w:before="20" w:after="0"/>
              <w:ind w:left="838" w:hanging="0"/>
              <w:rPr>
                <w:color w:val="000000"/>
                <w:sz w:val="20"/>
                <w:szCs w:val="20"/>
              </w:rPr>
            </w:pPr>
            <w:r>
              <w:rPr>
                <w:color w:val="000000"/>
                <w:sz w:val="20"/>
                <w:szCs w:val="20"/>
              </w:rPr>
            </w:r>
          </w:p>
          <w:p>
            <w:pPr>
              <w:pStyle w:val="Normal"/>
              <w:widowControl/>
              <w:numPr>
                <w:ilvl w:val="0"/>
                <w:numId w:val="22"/>
              </w:numPr>
              <w:pBdr/>
              <w:spacing w:lineRule="auto" w:line="360" w:before="0" w:after="160"/>
              <w:ind w:left="1425" w:hanging="300"/>
              <w:jc w:val="both"/>
              <w:rPr>
                <w:rFonts w:ascii="Lexend Light" w:hAnsi="Lexend Light" w:eastAsia="Lexend Light" w:cs="Lexend Light"/>
                <w:color w:val="000000"/>
              </w:rPr>
            </w:pPr>
            <w:r>
              <w:rPr>
                <w:rFonts w:eastAsia="Lexend Light" w:cs="Lexend Light" w:ascii="Lexend Light" w:hAnsi="Lexend Light"/>
                <w:color w:val="000000"/>
              </w:rPr>
              <w:t>Nombre y NIT de la entidad que expide la certificación.</w:t>
            </w:r>
          </w:p>
          <w:p>
            <w:pPr>
              <w:pStyle w:val="Normal"/>
              <w:widowControl/>
              <w:numPr>
                <w:ilvl w:val="0"/>
                <w:numId w:val="22"/>
              </w:numPr>
              <w:pBdr/>
              <w:spacing w:lineRule="auto" w:line="360" w:before="0" w:after="160"/>
              <w:ind w:left="1425" w:hanging="300"/>
              <w:jc w:val="both"/>
              <w:rPr>
                <w:rFonts w:ascii="Lexend Light" w:hAnsi="Lexend Light" w:eastAsia="Lexend Light" w:cs="Lexend Light"/>
                <w:color w:val="000000"/>
              </w:rPr>
            </w:pPr>
            <w:r>
              <w:rPr>
                <w:rFonts w:eastAsia="Lexend Light" w:cs="Lexend Light" w:ascii="Lexend Light" w:hAnsi="Lexend Light"/>
                <w:color w:val="000000"/>
              </w:rPr>
              <w:t>Nombre de la entidad apoyada y del proyecto ejecutado.</w:t>
            </w:r>
          </w:p>
          <w:p>
            <w:pPr>
              <w:pStyle w:val="Normal"/>
              <w:widowControl/>
              <w:numPr>
                <w:ilvl w:val="0"/>
                <w:numId w:val="22"/>
              </w:numPr>
              <w:pBdr/>
              <w:spacing w:lineRule="auto" w:line="360" w:before="0" w:after="160"/>
              <w:ind w:left="1425" w:hanging="300"/>
              <w:jc w:val="both"/>
              <w:rPr>
                <w:rFonts w:ascii="Lexend Light" w:hAnsi="Lexend Light" w:eastAsia="Lexend Light" w:cs="Lexend Light"/>
                <w:color w:val="000000"/>
              </w:rPr>
            </w:pPr>
            <w:r>
              <w:rPr>
                <w:rFonts w:eastAsia="Lexend Light" w:cs="Lexend Light" w:ascii="Lexend Light" w:hAnsi="Lexend Light"/>
                <w:color w:val="000000"/>
              </w:rPr>
              <w:t>Objeto del contrato o convenio.</w:t>
            </w:r>
          </w:p>
          <w:p>
            <w:pPr>
              <w:pStyle w:val="Normal"/>
              <w:widowControl/>
              <w:numPr>
                <w:ilvl w:val="0"/>
                <w:numId w:val="22"/>
              </w:numPr>
              <w:pBdr/>
              <w:spacing w:lineRule="auto" w:line="360" w:before="0" w:after="160"/>
              <w:ind w:left="1425" w:hanging="300"/>
              <w:jc w:val="both"/>
              <w:rPr>
                <w:rFonts w:ascii="Lexend Light" w:hAnsi="Lexend Light" w:eastAsia="Lexend Light" w:cs="Lexend Light"/>
                <w:color w:val="000000"/>
              </w:rPr>
            </w:pPr>
            <w:r>
              <w:rPr>
                <w:rFonts w:eastAsia="Lexend Light" w:cs="Lexend Light" w:ascii="Lexend Light" w:hAnsi="Lexend Light"/>
                <w:color w:val="000000"/>
              </w:rPr>
              <w:t>Fecha de inicio y fecha de terminación del contrato o convenio (día, mes, año).</w:t>
            </w:r>
          </w:p>
          <w:p>
            <w:pPr>
              <w:pStyle w:val="Normal"/>
              <w:widowControl/>
              <w:numPr>
                <w:ilvl w:val="0"/>
                <w:numId w:val="22"/>
              </w:numPr>
              <w:pBdr/>
              <w:spacing w:lineRule="auto" w:line="360" w:before="0" w:after="160"/>
              <w:ind w:left="1425" w:hanging="300"/>
              <w:jc w:val="both"/>
              <w:rPr>
                <w:rFonts w:ascii="Lexend Light" w:hAnsi="Lexend Light" w:eastAsia="Lexend Light" w:cs="Lexend Light"/>
                <w:color w:val="000000"/>
              </w:rPr>
            </w:pPr>
            <w:r>
              <w:rPr>
                <w:rFonts w:eastAsia="Lexend Light" w:cs="Lexend Light" w:ascii="Lexend Light" w:hAnsi="Lexend Light"/>
              </w:rPr>
              <w:t>Valor</w:t>
            </w:r>
            <w:r>
              <w:rPr>
                <w:rFonts w:eastAsia="Lexend Light" w:cs="Lexend Light" w:ascii="Lexend Light" w:hAnsi="Lexend Light"/>
                <w:color w:val="000000"/>
              </w:rPr>
              <w:t xml:space="preserve"> del contrato o convenio.</w:t>
            </w:r>
          </w:p>
          <w:p>
            <w:pPr>
              <w:pStyle w:val="Normal"/>
              <w:widowControl/>
              <w:numPr>
                <w:ilvl w:val="0"/>
                <w:numId w:val="22"/>
              </w:numPr>
              <w:pBdr/>
              <w:spacing w:lineRule="auto" w:line="360" w:before="0" w:after="160"/>
              <w:ind w:left="1440" w:hanging="284"/>
              <w:jc w:val="both"/>
              <w:rPr>
                <w:rFonts w:ascii="Lexend Light" w:hAnsi="Lexend Light" w:eastAsia="Lexend Light" w:cs="Lexend Light"/>
                <w:color w:val="000000"/>
              </w:rPr>
            </w:pPr>
            <w:r>
              <w:rPr>
                <w:rFonts w:eastAsia="Lexend Light" w:cs="Lexend Light" w:ascii="Lexend Light" w:hAnsi="Lexend Light"/>
                <w:color w:val="000000"/>
              </w:rPr>
              <w:t>Datos de contacto de quien expide la certificación: dirección, teléfonos y correo electrónico.</w:t>
            </w:r>
          </w:p>
          <w:p>
            <w:pPr>
              <w:pStyle w:val="Normal"/>
              <w:pBdr/>
              <w:spacing w:lineRule="auto" w:line="360" w:before="132" w:after="0"/>
              <w:ind w:left="866" w:right="59" w:firstLine="14"/>
              <w:jc w:val="both"/>
              <w:rPr>
                <w:rFonts w:ascii="Lexend Light" w:hAnsi="Lexend Light" w:eastAsia="Lexend Light" w:cs="Lexend Light"/>
                <w:color w:val="000000"/>
              </w:rPr>
            </w:pPr>
            <w:r>
              <w:rPr>
                <w:rFonts w:eastAsia="Lexend" w:cs="Lexend" w:ascii="Lexend" w:hAnsi="Lexend"/>
                <w:b/>
                <w:color w:val="ED4FD0"/>
              </w:rPr>
              <w:t>Nota 1</w:t>
            </w:r>
            <w:r>
              <w:rPr>
                <w:rFonts w:eastAsia="Lexend Light" w:cs="Lexend Light" w:ascii="Lexend Light" w:hAnsi="Lexend Light"/>
                <w:color w:val="000000"/>
              </w:rPr>
              <w:t xml:space="preserve">. Por favor recuerde que no son válidas para certificar la experiencia de la entidad participante en la ejecución de contratos, ni las copias </w:t>
            </w:r>
            <w:r>
              <w:rPr>
                <w:rFonts w:eastAsia="Lexend Light" w:cs="Lexend Light" w:ascii="Lexend Light" w:hAnsi="Lexend Light"/>
              </w:rPr>
              <w:t xml:space="preserve">de los </w:t>
            </w:r>
            <w:r>
              <w:rPr>
                <w:rFonts w:eastAsia="Lexend Light" w:cs="Lexend Light" w:ascii="Lexend Light" w:hAnsi="Lexend Light"/>
                <w:color w:val="000000"/>
              </w:rPr>
              <w:t>contratos o convenios</w:t>
            </w:r>
            <w:r>
              <w:rPr>
                <w:rFonts w:eastAsia="Lexend Light" w:cs="Lexend Light" w:ascii="Lexend Light" w:hAnsi="Lexend Light"/>
              </w:rPr>
              <w:t>,</w:t>
            </w:r>
            <w:r>
              <w:rPr>
                <w:rFonts w:eastAsia="Lexend Light" w:cs="Lexend Light" w:ascii="Lexend Light" w:hAnsi="Lexend Light"/>
                <w:color w:val="000000"/>
              </w:rPr>
              <w:t xml:space="preserve"> ni las resoluciones de ganadores o certiﬁcaciones de ejecución de estímulos (becas, premios, residencias).</w:t>
            </w:r>
          </w:p>
          <w:p>
            <w:pPr>
              <w:pStyle w:val="Normal"/>
              <w:spacing w:lineRule="auto" w:line="360" w:before="132" w:after="0"/>
              <w:ind w:left="866" w:right="59" w:firstLine="14"/>
              <w:jc w:val="both"/>
              <w:rPr>
                <w:rFonts w:ascii="Lexend Light" w:hAnsi="Lexend Light" w:eastAsia="Lexend Light" w:cs="Lexend Light"/>
              </w:rPr>
            </w:pPr>
            <w:r>
              <w:rPr>
                <w:rFonts w:eastAsia="Lexend" w:cs="Lexend" w:ascii="Lexend" w:hAnsi="Lexend"/>
                <w:b/>
                <w:color w:val="ED4FD0"/>
              </w:rPr>
              <w:t>Nota 2</w:t>
            </w:r>
            <w:r>
              <w:rPr>
                <w:rFonts w:eastAsia="Lexend Light" w:cs="Lexend Light" w:ascii="Lexend Light" w:hAnsi="Lexend Light"/>
              </w:rPr>
              <w:t xml:space="preserve">. Si la constitución de la entidad que presenta el proyecto es menor a tres (3) años, la experiencia en la ejecución de contratos relacionados con proyectos iguales o similares al presentado a la convocatoria, se podrá acreditar con la experiencia de sus socios fundadores y/o miembros de su junta directiva. Para lo cual, la entidad deberá manifestar, al momento de registrar la persona jurídica en la plataforma, su interés en acogerse al numeral 2.5 del artículo </w:t>
            </w:r>
            <w:r>
              <w:rPr>
                <w:rFonts w:eastAsia="Arial" w:cs="Arial" w:ascii="Arial" w:hAnsi="Arial"/>
                <w:color w:val="333333"/>
                <w:highlight w:val="white"/>
              </w:rPr>
              <w:t>2.2.1.1.1.5.2.</w:t>
            </w:r>
            <w:r>
              <w:rPr>
                <w:rFonts w:eastAsia="Lexend Light" w:cs="Lexend Light" w:ascii="Lexend Light" w:hAnsi="Lexend Light"/>
              </w:rPr>
              <w:t xml:space="preserve"> del decreto 1082 de 2015 y aportar al momento de la inscripción del proyecto, los correspondientes certificados y/o actas de liquidación de contratos y sus estatutos o acta de constitución en donde se evidencie</w:t>
            </w:r>
          </w:p>
        </w:tc>
        <w:tc>
          <w:tcPr>
            <w:tcW w:w="1879" w:type="dxa"/>
            <w:tcBorders>
              <w:top w:val="single" w:sz="18" w:space="0" w:color="6F2FA0"/>
              <w:left w:val="single" w:sz="18" w:space="0" w:color="6F2FA0"/>
              <w:bottom w:val="single" w:sz="18" w:space="0" w:color="6F2FA0"/>
              <w:right w:val="single" w:sz="18" w:space="0" w:color="6F2FA0"/>
            </w:tcBorders>
            <w:shd w:color="auto" w:fill="ECF1FA" w:val="clear"/>
            <w:vAlign w:val="center"/>
          </w:tcPr>
          <w:p>
            <w:pPr>
              <w:pStyle w:val="Normal"/>
              <w:pBdr/>
              <w:ind w:left="820" w:right="783" w:hanging="0"/>
              <w:jc w:val="center"/>
              <w:rPr>
                <w:rFonts w:ascii="Lexend Light" w:hAnsi="Lexend Light" w:eastAsia="Lexend Light" w:cs="Lexend Light"/>
                <w:color w:val="000000"/>
              </w:rPr>
            </w:pPr>
            <w:r>
              <w:rPr>
                <w:rFonts w:eastAsia="Lexend Light" w:cs="Lexend Light" w:ascii="Lexend Light" w:hAnsi="Lexend Light"/>
                <w:color w:val="000000"/>
              </w:rPr>
              <w:t>Si</w:t>
            </w:r>
          </w:p>
        </w:tc>
      </w:tr>
      <w:tr>
        <w:trPr>
          <w:trHeight w:val="1095" w:hRule="atLeast"/>
        </w:trPr>
        <w:tc>
          <w:tcPr>
            <w:tcW w:w="7020" w:type="dxa"/>
            <w:tcBorders>
              <w:top w:val="single" w:sz="18" w:space="0" w:color="6F2FA0"/>
              <w:left w:val="single" w:sz="18" w:space="0" w:color="6F2FA0"/>
              <w:bottom w:val="single" w:sz="18" w:space="0" w:color="6F2FA0"/>
              <w:right w:val="single" w:sz="18" w:space="0" w:color="6F2FA0"/>
            </w:tcBorders>
            <w:shd w:color="auto" w:fill="FAFAFD" w:val="clear"/>
            <w:vAlign w:val="center"/>
          </w:tcPr>
          <w:p>
            <w:pPr>
              <w:pStyle w:val="Normal"/>
              <w:numPr>
                <w:ilvl w:val="0"/>
                <w:numId w:val="20"/>
              </w:numPr>
              <w:pBdr/>
              <w:spacing w:lineRule="auto" w:line="372" w:before="6" w:after="0"/>
              <w:ind w:left="463" w:right="66" w:hanging="360"/>
              <w:rPr>
                <w:rFonts w:ascii="Lexend" w:hAnsi="Lexend" w:eastAsia="Lexend" w:cs="Lexend"/>
                <w:color w:val="ED4FD0"/>
              </w:rPr>
            </w:pPr>
            <w:r>
              <w:rPr>
                <w:rFonts w:eastAsia="Lexend" w:cs="Lexend" w:ascii="Lexend" w:hAnsi="Lexend"/>
                <w:b/>
                <w:color w:val="ED4FD0"/>
              </w:rPr>
              <w:t>Carta de compromiso de coﬁnanciación</w:t>
            </w:r>
          </w:p>
          <w:p>
            <w:pPr>
              <w:pStyle w:val="Normal"/>
              <w:numPr>
                <w:ilvl w:val="1"/>
                <w:numId w:val="20"/>
              </w:numPr>
              <w:pBdr/>
              <w:tabs>
                <w:tab w:val="clear" w:pos="720"/>
                <w:tab w:val="left" w:pos="824" w:leader="none"/>
              </w:tabs>
              <w:spacing w:lineRule="auto" w:line="367" w:before="3" w:after="0"/>
              <w:ind w:left="823" w:right="63" w:hanging="360"/>
              <w:jc w:val="both"/>
              <w:rPr>
                <w:rFonts w:ascii="Lexend Light" w:hAnsi="Lexend Light" w:eastAsia="Lexend Light" w:cs="Lexend Light"/>
              </w:rPr>
            </w:pPr>
            <w:r>
              <w:rPr>
                <w:rFonts w:eastAsia="Lexend Light" w:cs="Lexend Light" w:ascii="Lexend Light" w:hAnsi="Lexend Light"/>
                <w:color w:val="000000"/>
              </w:rPr>
              <w:t>Mínimo una (1) carta de compromiso de la(s) entidad(es) que coﬁnanciará(n) el proyecto. Puede ser la de la misma entidad participante, en donde indique el monto de la coﬁnanciación que aportará con recursos propios.</w:t>
            </w:r>
          </w:p>
          <w:p>
            <w:pPr>
              <w:pStyle w:val="Normal"/>
              <w:numPr>
                <w:ilvl w:val="1"/>
                <w:numId w:val="20"/>
              </w:numPr>
              <w:pBdr/>
              <w:tabs>
                <w:tab w:val="clear" w:pos="720"/>
                <w:tab w:val="left" w:pos="824" w:leader="none"/>
              </w:tabs>
              <w:spacing w:lineRule="auto" w:line="367" w:before="3" w:after="0"/>
              <w:ind w:left="823" w:right="63" w:hanging="360"/>
              <w:jc w:val="both"/>
              <w:rPr>
                <w:rFonts w:ascii="Lexend Light" w:hAnsi="Lexend Light" w:eastAsia="Lexend Light" w:cs="Lexend Light"/>
              </w:rPr>
            </w:pPr>
            <w:r>
              <w:rPr>
                <w:rFonts w:eastAsia="Lexend Light" w:cs="Lexend Light" w:ascii="Lexend Light" w:hAnsi="Lexend Light"/>
                <w:color w:val="000000"/>
              </w:rPr>
              <w:t>Firmada(s) por el representante legal de la entidad coﬁnanciadora, en la que se maniﬁeste la decisión de apoyar con recursos económicos el proyecto, indicando claramente los siguientes datos:</w:t>
            </w:r>
          </w:p>
          <w:p>
            <w:pPr>
              <w:pStyle w:val="Normal"/>
              <w:widowControl/>
              <w:numPr>
                <w:ilvl w:val="0"/>
                <w:numId w:val="24"/>
              </w:numPr>
              <w:pBdr/>
              <w:tabs>
                <w:tab w:val="clear" w:pos="720"/>
                <w:tab w:val="left" w:pos="1184" w:leader="none"/>
              </w:tabs>
              <w:spacing w:lineRule="auto" w:line="360" w:before="5" w:after="160"/>
              <w:ind w:left="1183" w:right="66" w:hanging="360"/>
              <w:jc w:val="both"/>
              <w:rPr>
                <w:rFonts w:ascii="Lexend" w:hAnsi="Lexend" w:eastAsia="Lexend" w:cs="Lexend"/>
              </w:rPr>
            </w:pPr>
            <w:r>
              <w:rPr>
                <w:rFonts w:eastAsia="Lexend Light" w:cs="Lexend Light" w:ascii="Lexend Light" w:hAnsi="Lexend Light"/>
                <w:color w:val="000000"/>
              </w:rPr>
              <w:t>Nombre y NIT de la entidad que coﬁnanciará el proyecto.</w:t>
            </w:r>
          </w:p>
          <w:p>
            <w:pPr>
              <w:pStyle w:val="Normal"/>
              <w:widowControl/>
              <w:numPr>
                <w:ilvl w:val="0"/>
                <w:numId w:val="24"/>
              </w:numPr>
              <w:pBdr/>
              <w:tabs>
                <w:tab w:val="clear" w:pos="720"/>
                <w:tab w:val="left" w:pos="1184" w:leader="none"/>
              </w:tabs>
              <w:spacing w:lineRule="auto" w:line="360" w:before="5" w:after="160"/>
              <w:ind w:left="1183" w:right="66" w:hanging="360"/>
              <w:jc w:val="both"/>
              <w:rPr>
                <w:rFonts w:ascii="Lexend" w:hAnsi="Lexend" w:eastAsia="Lexend" w:cs="Lexend"/>
              </w:rPr>
            </w:pPr>
            <w:r>
              <w:rPr>
                <w:rFonts w:eastAsia="Lexend Light" w:cs="Lexend Light" w:ascii="Lexend Light" w:hAnsi="Lexend Light"/>
                <w:color w:val="000000"/>
              </w:rPr>
              <w:t>Nombre del proyecto que se va a coﬁnanciar.</w:t>
            </w:r>
          </w:p>
          <w:p>
            <w:pPr>
              <w:pStyle w:val="Normal"/>
              <w:widowControl/>
              <w:numPr>
                <w:ilvl w:val="0"/>
                <w:numId w:val="24"/>
              </w:numPr>
              <w:pBdr/>
              <w:tabs>
                <w:tab w:val="clear" w:pos="720"/>
                <w:tab w:val="left" w:pos="1183" w:leader="none"/>
                <w:tab w:val="left" w:pos="1184" w:leader="none"/>
              </w:tabs>
              <w:spacing w:lineRule="auto" w:line="360" w:before="5" w:after="160"/>
              <w:ind w:left="1183" w:right="66" w:hanging="360"/>
              <w:jc w:val="both"/>
              <w:rPr>
                <w:rFonts w:ascii="Lexend" w:hAnsi="Lexend" w:eastAsia="Lexend" w:cs="Lexend"/>
              </w:rPr>
            </w:pPr>
            <w:r>
              <w:rPr>
                <w:rFonts w:eastAsia="Lexend Light" w:cs="Lexend Light" w:ascii="Lexend Light" w:hAnsi="Lexend Light"/>
                <w:color w:val="000000"/>
              </w:rPr>
              <w:t>Monto de los recursos que se destinarán a coﬁnanciar el proyecto.</w:t>
            </w:r>
          </w:p>
          <w:p>
            <w:pPr>
              <w:pStyle w:val="Normal"/>
              <w:numPr>
                <w:ilvl w:val="0"/>
                <w:numId w:val="24"/>
              </w:numPr>
              <w:pBdr/>
              <w:tabs>
                <w:tab w:val="clear" w:pos="720"/>
                <w:tab w:val="left" w:pos="1183" w:leader="none"/>
                <w:tab w:val="left" w:pos="1184" w:leader="none"/>
              </w:tabs>
              <w:spacing w:lineRule="auto" w:line="360" w:before="5" w:after="0"/>
              <w:ind w:left="1183" w:right="66" w:hanging="360"/>
              <w:rPr>
                <w:rFonts w:ascii="Lexend" w:hAnsi="Lexend" w:eastAsia="Lexend" w:cs="Lexend"/>
              </w:rPr>
            </w:pPr>
            <w:r>
              <w:rPr>
                <w:rFonts w:eastAsia="Lexend Light" w:cs="Lexend Light" w:ascii="Lexend Light" w:hAnsi="Lexend Light"/>
                <w:color w:val="000000"/>
              </w:rPr>
              <w:t>Datos de contacto de la entidad que coﬁnanciará el proyecto y de su representante legal: dirección, teléfono y correo electrónico.</w:t>
            </w:r>
          </w:p>
        </w:tc>
        <w:tc>
          <w:tcPr>
            <w:tcW w:w="1879" w:type="dxa"/>
            <w:tcBorders>
              <w:top w:val="single" w:sz="18" w:space="0" w:color="6F2FA0"/>
              <w:left w:val="single" w:sz="18" w:space="0" w:color="6F2FA0"/>
              <w:bottom w:val="single" w:sz="18" w:space="0" w:color="6F2FA0"/>
              <w:right w:val="single" w:sz="18" w:space="0" w:color="6F2FA0"/>
            </w:tcBorders>
            <w:shd w:color="auto" w:fill="ECF1FA" w:val="clear"/>
            <w:vAlign w:val="center"/>
          </w:tcPr>
          <w:p>
            <w:pPr>
              <w:pStyle w:val="Normal"/>
              <w:pBdr/>
              <w:ind w:left="820" w:right="783" w:hanging="0"/>
              <w:jc w:val="center"/>
              <w:rPr>
                <w:rFonts w:ascii="Lexend Light" w:hAnsi="Lexend Light" w:eastAsia="Lexend Light" w:cs="Lexend Light"/>
                <w:color w:val="000000"/>
              </w:rPr>
            </w:pPr>
            <w:r>
              <w:rPr>
                <w:rFonts w:eastAsia="Lexend Light" w:cs="Lexend Light" w:ascii="Lexend Light" w:hAnsi="Lexend Light"/>
                <w:color w:val="000000"/>
              </w:rPr>
              <w:t>Si</w:t>
            </w:r>
          </w:p>
        </w:tc>
      </w:tr>
      <w:tr>
        <w:trPr>
          <w:trHeight w:val="1095" w:hRule="atLeast"/>
        </w:trPr>
        <w:tc>
          <w:tcPr>
            <w:tcW w:w="7020" w:type="dxa"/>
            <w:tcBorders>
              <w:top w:val="single" w:sz="18" w:space="0" w:color="6F2FA0"/>
              <w:left w:val="single" w:sz="18" w:space="0" w:color="6F2FA0"/>
              <w:bottom w:val="single" w:sz="18" w:space="0" w:color="6F2FA0"/>
              <w:right w:val="single" w:sz="18" w:space="0" w:color="6F2FA0"/>
            </w:tcBorders>
            <w:shd w:color="auto" w:fill="FAFAFD" w:val="clear"/>
            <w:vAlign w:val="center"/>
          </w:tcPr>
          <w:p>
            <w:pPr>
              <w:pStyle w:val="Normal"/>
              <w:numPr>
                <w:ilvl w:val="0"/>
                <w:numId w:val="20"/>
              </w:numPr>
              <w:pBdr/>
              <w:spacing w:lineRule="auto" w:line="360" w:before="6" w:after="0"/>
              <w:ind w:left="463" w:right="66" w:hanging="360"/>
              <w:rPr>
                <w:rFonts w:ascii="Lexend" w:hAnsi="Lexend" w:eastAsia="Lexend" w:cs="Lexend"/>
                <w:color w:val="ED4FD0"/>
              </w:rPr>
            </w:pPr>
            <w:r>
              <w:rPr>
                <w:rFonts w:eastAsia="Lexend" w:cs="Lexend" w:ascii="Lexend" w:hAnsi="Lexend"/>
                <w:b/>
                <w:color w:val="ED4FD0"/>
              </w:rPr>
              <w:t>Manifestación escrita de conformación de alianza sectorial</w:t>
            </w:r>
          </w:p>
          <w:p>
            <w:pPr>
              <w:pStyle w:val="Normal"/>
              <w:numPr>
                <w:ilvl w:val="1"/>
                <w:numId w:val="20"/>
              </w:numPr>
              <w:pBdr/>
              <w:tabs>
                <w:tab w:val="clear" w:pos="720"/>
                <w:tab w:val="left" w:pos="824" w:leader="none"/>
              </w:tabs>
              <w:spacing w:lineRule="auto" w:line="360" w:before="3" w:after="0"/>
              <w:ind w:left="823" w:right="63" w:hanging="360"/>
              <w:jc w:val="both"/>
              <w:rPr>
                <w:rFonts w:ascii="Lexend Light" w:hAnsi="Lexend Light" w:eastAsia="Lexend Light" w:cs="Lexend Light"/>
              </w:rPr>
            </w:pPr>
            <w:r>
              <w:rPr>
                <w:rFonts w:eastAsia="Lexend Light" w:cs="Lexend Light" w:ascii="Lexend Light" w:hAnsi="Lexend Light"/>
                <w:color w:val="000000"/>
              </w:rPr>
              <w:t>Únicamente para proyectos cuya formulación implica que serán desarrollados en el marco de una alianza sectorial, la cual se requiere que esté conformada por mínimo tres (3) entidades privadas sin ánimo de lucro.</w:t>
            </w:r>
          </w:p>
          <w:p>
            <w:pPr>
              <w:pStyle w:val="Normal"/>
              <w:numPr>
                <w:ilvl w:val="1"/>
                <w:numId w:val="20"/>
              </w:numPr>
              <w:pBdr/>
              <w:tabs>
                <w:tab w:val="clear" w:pos="720"/>
                <w:tab w:val="left" w:pos="824" w:leader="none"/>
              </w:tabs>
              <w:spacing w:lineRule="auto" w:line="360" w:before="3" w:after="0"/>
              <w:ind w:left="823" w:right="63" w:hanging="360"/>
              <w:jc w:val="both"/>
              <w:rPr>
                <w:rFonts w:ascii="Lexend Light" w:hAnsi="Lexend Light" w:eastAsia="Lexend Light" w:cs="Lexend Light"/>
              </w:rPr>
            </w:pPr>
            <w:r>
              <w:rPr>
                <w:rFonts w:eastAsia="Lexend Light" w:cs="Lexend Light" w:ascii="Lexend Light" w:hAnsi="Lexend Light"/>
                <w:color w:val="000000"/>
              </w:rPr>
              <w:t>Firmada por el representante legal de cada una las entidades aliadas, en la que se maniﬁeste de manera expresa la voluntad de conformar una alianza para la ejecución del proyecto presentado, e indicando claramente los siguientes datos:</w:t>
            </w:r>
          </w:p>
          <w:p>
            <w:pPr>
              <w:pStyle w:val="Normal"/>
              <w:numPr>
                <w:ilvl w:val="2"/>
                <w:numId w:val="20"/>
              </w:numPr>
              <w:pBdr/>
              <w:tabs>
                <w:tab w:val="clear" w:pos="720"/>
                <w:tab w:val="left" w:pos="1184" w:leader="none"/>
              </w:tabs>
              <w:spacing w:lineRule="auto" w:line="360" w:before="3" w:after="0"/>
              <w:jc w:val="both"/>
              <w:rPr>
                <w:rFonts w:ascii="Lexend Light" w:hAnsi="Lexend Light" w:eastAsia="Lexend Light" w:cs="Lexend Light"/>
                <w:color w:val="000000"/>
              </w:rPr>
            </w:pPr>
            <w:r>
              <w:rPr>
                <w:rFonts w:eastAsia="Lexend Light" w:cs="Lexend Light" w:ascii="Lexend Light" w:hAnsi="Lexend Light"/>
                <w:color w:val="000000"/>
              </w:rPr>
              <w:t>Nombre y NIT de cada una de las entidades aliadas.</w:t>
            </w:r>
          </w:p>
          <w:p>
            <w:pPr>
              <w:pStyle w:val="Normal"/>
              <w:numPr>
                <w:ilvl w:val="2"/>
                <w:numId w:val="20"/>
              </w:numPr>
              <w:pBdr/>
              <w:tabs>
                <w:tab w:val="clear" w:pos="720"/>
                <w:tab w:val="left" w:pos="1184" w:leader="none"/>
              </w:tabs>
              <w:spacing w:lineRule="auto" w:line="360" w:before="132" w:after="0"/>
              <w:ind w:left="1183" w:right="127" w:hanging="360"/>
              <w:jc w:val="both"/>
              <w:rPr>
                <w:rFonts w:ascii="Lexend Light" w:hAnsi="Lexend Light" w:eastAsia="Lexend Light" w:cs="Lexend Light"/>
                <w:color w:val="000000"/>
              </w:rPr>
            </w:pPr>
            <w:r>
              <w:rPr>
                <w:rFonts w:eastAsia="Lexend Light" w:cs="Lexend Light" w:ascii="Lexend Light" w:hAnsi="Lexend Light"/>
                <w:color w:val="000000"/>
              </w:rPr>
              <w:t>Datos de contacto de cada una de las entidades aliadas y de sus representantes legales: dirección, teléfono y correo electrónico.</w:t>
            </w:r>
          </w:p>
          <w:p>
            <w:pPr>
              <w:pStyle w:val="Normal"/>
              <w:numPr>
                <w:ilvl w:val="1"/>
                <w:numId w:val="20"/>
              </w:numPr>
              <w:pBdr/>
              <w:tabs>
                <w:tab w:val="clear" w:pos="720"/>
                <w:tab w:val="left" w:pos="824" w:leader="none"/>
              </w:tabs>
              <w:spacing w:lineRule="auto" w:line="360" w:before="2" w:after="0"/>
              <w:ind w:left="823" w:right="127" w:hanging="360"/>
              <w:jc w:val="both"/>
              <w:rPr>
                <w:rFonts w:ascii="Lexend" w:hAnsi="Lexend" w:eastAsia="Lexend" w:cs="Lexend"/>
                <w:b/>
                <w:b/>
              </w:rPr>
            </w:pPr>
            <w:r>
              <w:rPr>
                <w:rFonts w:eastAsia="Lexend Light" w:cs="Lexend Light" w:ascii="Lexend Light" w:hAnsi="Lexend Light"/>
                <w:color w:val="000000"/>
              </w:rPr>
              <w:t>Con fecha de expedición de máximo treinta (30) días antes de la fecha de cierre de la convocatoria.</w:t>
            </w:r>
          </w:p>
          <w:p>
            <w:pPr>
              <w:pStyle w:val="Normal"/>
              <w:numPr>
                <w:ilvl w:val="1"/>
                <w:numId w:val="20"/>
              </w:numPr>
              <w:pBdr/>
              <w:tabs>
                <w:tab w:val="clear" w:pos="720"/>
                <w:tab w:val="left" w:pos="824" w:leader="none"/>
              </w:tabs>
              <w:spacing w:lineRule="auto" w:line="360" w:before="2" w:after="0"/>
              <w:ind w:left="823" w:right="127" w:hanging="360"/>
              <w:jc w:val="both"/>
              <w:rPr>
                <w:rFonts w:ascii="Lexend" w:hAnsi="Lexend" w:eastAsia="Lexend" w:cs="Lexend"/>
                <w:b/>
                <w:b/>
              </w:rPr>
            </w:pPr>
            <w:r>
              <w:rPr>
                <w:rFonts w:eastAsia="Lexend Light" w:cs="Lexend Light" w:ascii="Lexend Light" w:hAnsi="Lexend Light"/>
                <w:color w:val="000000"/>
              </w:rPr>
              <w:t>La manifestación debe anexar los certiﬁcados de existencia y representación legal de cada una de las entidades aliadas, con fecha de expedición de máximo treinta (30) días antes de la fecha de cierre de la convocatoria, si es expedido por la Cámara de Comercio debe registrar la renovación de la matrícula mercantil y se debe adjuntar completo con todas sus páginas y en orden.</w:t>
            </w:r>
          </w:p>
          <w:p>
            <w:pPr>
              <w:pStyle w:val="Normal"/>
              <w:pBdr/>
              <w:tabs>
                <w:tab w:val="clear" w:pos="720"/>
                <w:tab w:val="left" w:pos="824" w:leader="none"/>
              </w:tabs>
              <w:spacing w:lineRule="auto" w:line="360" w:before="2" w:after="0"/>
              <w:ind w:left="480" w:right="127" w:hanging="0"/>
              <w:jc w:val="both"/>
              <w:rPr>
                <w:rFonts w:ascii="Lexend Light" w:hAnsi="Lexend Light" w:eastAsia="Lexend Light" w:cs="Lexend Light"/>
              </w:rPr>
            </w:pPr>
            <w:r>
              <w:rPr>
                <w:rFonts w:eastAsia="Lexend" w:cs="Lexend" w:ascii="Lexend" w:hAnsi="Lexend"/>
                <w:b/>
                <w:color w:val="ED4FD0"/>
              </w:rPr>
              <w:t>Nota</w:t>
            </w:r>
            <w:r>
              <w:rPr>
                <w:rFonts w:eastAsia="Lexend Light" w:cs="Lexend Light" w:ascii="Lexend Light" w:hAnsi="Lexend Light"/>
              </w:rPr>
              <w:t>. Es IMPORTANTE tener en cuenta que en caso de subsanación del documento, no es posible cambiar a las entidades sin ánimo de lucro incluidas inicialmente como parte de la alianza.</w:t>
            </w:r>
          </w:p>
        </w:tc>
        <w:tc>
          <w:tcPr>
            <w:tcW w:w="1879" w:type="dxa"/>
            <w:tcBorders>
              <w:top w:val="single" w:sz="18" w:space="0" w:color="6F2FA0"/>
              <w:left w:val="single" w:sz="18" w:space="0" w:color="6F2FA0"/>
              <w:bottom w:val="single" w:sz="18" w:space="0" w:color="6F2FA0"/>
              <w:right w:val="single" w:sz="18" w:space="0" w:color="6F2FA0"/>
            </w:tcBorders>
            <w:shd w:color="auto" w:fill="ECF1FA" w:val="clear"/>
            <w:vAlign w:val="center"/>
          </w:tcPr>
          <w:p>
            <w:pPr>
              <w:pStyle w:val="Normal"/>
              <w:pBdr/>
              <w:ind w:left="820" w:right="783" w:hanging="0"/>
              <w:jc w:val="center"/>
              <w:rPr>
                <w:rFonts w:ascii="Lexend Light" w:hAnsi="Lexend Light" w:eastAsia="Lexend Light" w:cs="Lexend Light"/>
                <w:color w:val="000000"/>
              </w:rPr>
            </w:pPr>
            <w:r>
              <w:rPr>
                <w:rFonts w:eastAsia="Lexend Light" w:cs="Lexend Light" w:ascii="Lexend Light" w:hAnsi="Lexend Light"/>
                <w:color w:val="000000"/>
              </w:rPr>
              <w:t>Si</w:t>
            </w:r>
          </w:p>
        </w:tc>
      </w:tr>
      <w:tr>
        <w:trPr>
          <w:trHeight w:val="1095" w:hRule="atLeast"/>
        </w:trPr>
        <w:tc>
          <w:tcPr>
            <w:tcW w:w="7020" w:type="dxa"/>
            <w:tcBorders>
              <w:top w:val="single" w:sz="18" w:space="0" w:color="6F2FA0"/>
              <w:left w:val="single" w:sz="18" w:space="0" w:color="6F2FA0"/>
              <w:bottom w:val="single" w:sz="18" w:space="0" w:color="6F2FA0"/>
              <w:right w:val="single" w:sz="18" w:space="0" w:color="6F2FA0"/>
            </w:tcBorders>
            <w:shd w:color="auto" w:fill="FAFAFD" w:val="clear"/>
            <w:vAlign w:val="center"/>
          </w:tcPr>
          <w:p>
            <w:pPr>
              <w:pStyle w:val="Normal"/>
              <w:numPr>
                <w:ilvl w:val="0"/>
                <w:numId w:val="20"/>
              </w:numPr>
              <w:pBdr/>
              <w:spacing w:lineRule="auto" w:line="360" w:before="6" w:after="0"/>
              <w:ind w:left="463" w:right="66" w:hanging="360"/>
              <w:rPr>
                <w:rFonts w:ascii="Lexend" w:hAnsi="Lexend" w:eastAsia="Lexend" w:cs="Lexend"/>
                <w:color w:val="ED4FD0"/>
              </w:rPr>
            </w:pPr>
            <w:r>
              <w:rPr>
                <w:rFonts w:eastAsia="Lexend" w:cs="Lexend" w:ascii="Lexend" w:hAnsi="Lexend"/>
                <w:b/>
                <w:color w:val="ED4FD0"/>
              </w:rPr>
              <w:t>Carta de que la entidad participante cuenta con infraestructura física</w:t>
            </w:r>
          </w:p>
          <w:p>
            <w:pPr>
              <w:pStyle w:val="Normal"/>
              <w:numPr>
                <w:ilvl w:val="1"/>
                <w:numId w:val="12"/>
              </w:numPr>
              <w:pBdr/>
              <w:tabs>
                <w:tab w:val="clear" w:pos="720"/>
                <w:tab w:val="left" w:pos="823" w:leader="none"/>
                <w:tab w:val="left" w:pos="824" w:leader="none"/>
                <w:tab w:val="left" w:pos="2229" w:leader="none"/>
                <w:tab w:val="left" w:pos="2938" w:leader="none"/>
                <w:tab w:val="left" w:pos="4131" w:leader="none"/>
                <w:tab w:val="left" w:pos="5566" w:leader="none"/>
                <w:tab w:val="left" w:pos="6044" w:leader="none"/>
                <w:tab w:val="left" w:pos="6462" w:leader="none"/>
              </w:tabs>
              <w:spacing w:lineRule="auto" w:line="360" w:before="1" w:after="0"/>
              <w:ind w:left="823" w:right="120" w:hanging="361"/>
              <w:jc w:val="both"/>
              <w:rPr>
                <w:rFonts w:ascii="Lexend Light" w:hAnsi="Lexend Light" w:eastAsia="Lexend Light" w:cs="Lexend Light"/>
                <w:color w:val="000000"/>
              </w:rPr>
            </w:pPr>
            <w:r>
              <w:rPr>
                <w:rFonts w:eastAsia="Lexend Light" w:cs="Lexend Light" w:ascii="Lexend Light" w:hAnsi="Lexend Light"/>
                <w:color w:val="000000"/>
              </w:rPr>
              <w:t>Únicamente</w:t>
              <w:tab/>
              <w:t>para</w:t>
              <w:tab/>
              <w:t>proyectos</w:t>
              <w:tab/>
              <w:t>presentados</w:t>
              <w:tab/>
              <w:t>en</w:t>
            </w:r>
            <w:r>
              <w:rPr>
                <w:rFonts w:eastAsia="Lexend Light" w:cs="Lexend Light" w:ascii="Lexend Light" w:hAnsi="Lexend Light"/>
              </w:rPr>
              <w:t xml:space="preserve"> </w:t>
            </w:r>
            <w:r>
              <w:rPr>
                <w:rFonts w:eastAsia="Lexend Light" w:cs="Lexend Light" w:ascii="Lexend Light" w:hAnsi="Lexend Light"/>
                <w:color w:val="000000"/>
              </w:rPr>
              <w:t>la</w:t>
            </w:r>
            <w:r>
              <w:rPr>
                <w:rFonts w:eastAsia="Lexend Light" w:cs="Lexend Light" w:ascii="Lexend Light" w:hAnsi="Lexend Light"/>
              </w:rPr>
              <w:t xml:space="preserve"> </w:t>
            </w:r>
            <w:r>
              <w:rPr>
                <w:rFonts w:eastAsia="Lexend Light" w:cs="Lexend Light" w:ascii="Lexend Light" w:hAnsi="Lexend Light"/>
                <w:color w:val="000000"/>
              </w:rPr>
              <w:t xml:space="preserve">línea: </w:t>
            </w:r>
            <w:r>
              <w:rPr>
                <w:rFonts w:eastAsia="Lexend Light" w:cs="Lexend Light" w:ascii="Lexend Light" w:hAnsi="Lexend Light"/>
                <w:i/>
                <w:color w:val="000000"/>
              </w:rPr>
              <w:t>Dinamización de Espacios</w:t>
            </w:r>
            <w:r>
              <w:rPr>
                <w:rFonts w:eastAsia="Lexend Light" w:cs="Lexend Light" w:ascii="Lexend Light" w:hAnsi="Lexend Light"/>
                <w:color w:val="000000"/>
              </w:rPr>
              <w:t>.</w:t>
            </w:r>
          </w:p>
          <w:p>
            <w:pPr>
              <w:pStyle w:val="Normal"/>
              <w:numPr>
                <w:ilvl w:val="0"/>
                <w:numId w:val="11"/>
              </w:numPr>
              <w:pBdr/>
              <w:tabs>
                <w:tab w:val="clear" w:pos="720"/>
                <w:tab w:val="left" w:pos="823" w:leader="none"/>
                <w:tab w:val="left" w:pos="824" w:leader="none"/>
              </w:tabs>
              <w:spacing w:lineRule="auto" w:line="360" w:before="125" w:after="0"/>
              <w:ind w:left="823" w:right="70" w:hanging="360"/>
              <w:jc w:val="both"/>
              <w:rPr>
                <w:rFonts w:ascii="Lexend Light" w:hAnsi="Lexend Light" w:eastAsia="Lexend Light" w:cs="Lexend Light"/>
                <w:color w:val="000000"/>
              </w:rPr>
            </w:pPr>
            <w:r>
              <w:rPr>
                <w:rFonts w:eastAsia="Lexend Light" w:cs="Lexend Light" w:ascii="Lexend Light" w:hAnsi="Lexend Light"/>
                <w:color w:val="000000"/>
              </w:rPr>
              <w:t>Debe certiﬁcar que la entidad participante cuenta con infraestructura física para la ejecución del proyecto.</w:t>
            </w:r>
          </w:p>
          <w:p>
            <w:pPr>
              <w:pStyle w:val="Normal"/>
              <w:numPr>
                <w:ilvl w:val="0"/>
                <w:numId w:val="11"/>
              </w:numPr>
              <w:pBdr/>
              <w:tabs>
                <w:tab w:val="clear" w:pos="720"/>
                <w:tab w:val="left" w:pos="823" w:leader="none"/>
                <w:tab w:val="left" w:pos="824" w:leader="none"/>
              </w:tabs>
              <w:spacing w:lineRule="auto" w:line="360" w:before="125" w:after="0"/>
              <w:ind w:left="823" w:right="70" w:hanging="360"/>
              <w:jc w:val="both"/>
              <w:rPr>
                <w:rFonts w:ascii="Lexend Light" w:hAnsi="Lexend Light" w:eastAsia="Lexend Light" w:cs="Lexend Light"/>
                <w:color w:val="000000"/>
              </w:rPr>
            </w:pPr>
            <w:r>
              <w:rPr>
                <w:rFonts w:eastAsia="Lexend Light" w:cs="Lexend Light" w:ascii="Lexend Light" w:hAnsi="Lexend Light"/>
              </w:rPr>
              <w:t>Debe incluir registro fotográfico del espacio, en donde se evidencie que este cuenta con las condiciones técnicas necesarias para el desarrollo del proyecto.</w:t>
            </w:r>
          </w:p>
          <w:p>
            <w:pPr>
              <w:pStyle w:val="Normal"/>
              <w:numPr>
                <w:ilvl w:val="0"/>
                <w:numId w:val="11"/>
              </w:numPr>
              <w:pBdr/>
              <w:tabs>
                <w:tab w:val="clear" w:pos="720"/>
                <w:tab w:val="left" w:pos="823" w:leader="none"/>
                <w:tab w:val="left" w:pos="824" w:leader="none"/>
              </w:tabs>
              <w:spacing w:lineRule="auto" w:line="360" w:before="2" w:after="0"/>
              <w:ind w:left="823" w:right="62" w:hanging="360"/>
              <w:rPr>
                <w:rFonts w:ascii="Lexend Light" w:hAnsi="Lexend Light" w:eastAsia="Lexend Light" w:cs="Lexend Light"/>
                <w:color w:val="000000"/>
              </w:rPr>
            </w:pPr>
            <w:r>
              <w:rPr>
                <w:rFonts w:eastAsia="Lexend Light" w:cs="Lexend Light" w:ascii="Lexend Light" w:hAnsi="Lexend Light"/>
                <w:color w:val="000000"/>
              </w:rPr>
              <w:t>Con fecha de expedición de máximo treinta (30) días antes de la fecha de cierre de la convocatoria.</w:t>
            </w:r>
          </w:p>
          <w:p>
            <w:pPr>
              <w:pStyle w:val="Normal"/>
              <w:numPr>
                <w:ilvl w:val="0"/>
                <w:numId w:val="8"/>
              </w:numPr>
              <w:pBdr/>
              <w:tabs>
                <w:tab w:val="clear" w:pos="720"/>
                <w:tab w:val="left" w:pos="823" w:leader="none"/>
                <w:tab w:val="left" w:pos="824" w:leader="none"/>
              </w:tabs>
              <w:spacing w:lineRule="auto" w:line="360" w:before="1" w:after="0"/>
              <w:ind w:left="823" w:hanging="361"/>
              <w:rPr>
                <w:rFonts w:ascii="Lexend Light" w:hAnsi="Lexend Light" w:eastAsia="Lexend Light" w:cs="Lexend Light"/>
                <w:color w:val="000000"/>
              </w:rPr>
            </w:pPr>
            <w:r>
              <w:rPr>
                <w:rFonts w:eastAsia="Lexend Light" w:cs="Lexend Light" w:ascii="Lexend Light" w:hAnsi="Lexend Light"/>
                <w:color w:val="000000"/>
              </w:rPr>
              <w:t>Firmada por el representante legal.</w:t>
            </w:r>
          </w:p>
        </w:tc>
        <w:tc>
          <w:tcPr>
            <w:tcW w:w="1879" w:type="dxa"/>
            <w:tcBorders>
              <w:top w:val="single" w:sz="18" w:space="0" w:color="6F2FA0"/>
              <w:left w:val="single" w:sz="18" w:space="0" w:color="6F2FA0"/>
              <w:bottom w:val="single" w:sz="18" w:space="0" w:color="6F2FA0"/>
              <w:right w:val="single" w:sz="18" w:space="0" w:color="6F2FA0"/>
            </w:tcBorders>
            <w:shd w:color="auto" w:fill="ECF1FA" w:val="clear"/>
            <w:vAlign w:val="center"/>
          </w:tcPr>
          <w:p>
            <w:pPr>
              <w:pStyle w:val="Normal"/>
              <w:pBdr/>
              <w:ind w:left="820" w:right="783" w:hanging="0"/>
              <w:jc w:val="center"/>
              <w:rPr>
                <w:rFonts w:ascii="Lexend Light" w:hAnsi="Lexend Light" w:eastAsia="Lexend Light" w:cs="Lexend Light"/>
                <w:color w:val="000000"/>
              </w:rPr>
            </w:pPr>
            <w:r>
              <w:rPr>
                <w:rFonts w:eastAsia="Lexend Light" w:cs="Lexend Light" w:ascii="Lexend Light" w:hAnsi="Lexend Light"/>
                <w:color w:val="000000"/>
              </w:rPr>
              <w:t>Si</w:t>
            </w:r>
          </w:p>
        </w:tc>
      </w:tr>
      <w:tr>
        <w:trPr>
          <w:trHeight w:val="1095" w:hRule="atLeast"/>
        </w:trPr>
        <w:tc>
          <w:tcPr>
            <w:tcW w:w="7020" w:type="dxa"/>
            <w:tcBorders>
              <w:top w:val="single" w:sz="18" w:space="0" w:color="6F2FA0"/>
              <w:left w:val="single" w:sz="18" w:space="0" w:color="6F2FA0"/>
              <w:bottom w:val="single" w:sz="18" w:space="0" w:color="6F2FA0"/>
              <w:right w:val="single" w:sz="18" w:space="0" w:color="6F2FA0"/>
            </w:tcBorders>
            <w:shd w:color="auto" w:fill="FAFAFD" w:val="clear"/>
            <w:vAlign w:val="center"/>
          </w:tcPr>
          <w:p>
            <w:pPr>
              <w:pStyle w:val="Normal"/>
              <w:numPr>
                <w:ilvl w:val="0"/>
                <w:numId w:val="20"/>
              </w:numPr>
              <w:pBdr/>
              <w:spacing w:lineRule="auto" w:line="360" w:before="6" w:after="0"/>
              <w:ind w:left="463" w:right="120" w:hanging="360"/>
              <w:rPr>
                <w:rFonts w:ascii="Lexend" w:hAnsi="Lexend" w:eastAsia="Lexend" w:cs="Lexend"/>
                <w:color w:val="ED4FD0"/>
              </w:rPr>
            </w:pPr>
            <w:r>
              <w:rPr>
                <w:rFonts w:eastAsia="Lexend" w:cs="Lexend" w:ascii="Lexend" w:hAnsi="Lexend"/>
                <w:b/>
                <w:color w:val="ED4FD0"/>
              </w:rPr>
              <w:t>Certificado de registro en PULEP como productor</w:t>
            </w:r>
          </w:p>
          <w:p>
            <w:pPr>
              <w:pStyle w:val="Normal"/>
              <w:numPr>
                <w:ilvl w:val="1"/>
                <w:numId w:val="20"/>
              </w:numPr>
              <w:pBdr/>
              <w:tabs>
                <w:tab w:val="clear" w:pos="720"/>
                <w:tab w:val="left" w:pos="824" w:leader="none"/>
              </w:tabs>
              <w:spacing w:lineRule="auto" w:line="360" w:before="132" w:after="0"/>
              <w:ind w:left="823" w:right="120" w:hanging="360"/>
              <w:jc w:val="both"/>
              <w:rPr>
                <w:rFonts w:ascii="Lexend Light" w:hAnsi="Lexend Light" w:eastAsia="Lexend Light" w:cs="Lexend Light"/>
              </w:rPr>
            </w:pPr>
            <w:r>
              <w:rPr>
                <w:rFonts w:eastAsia="Lexend Light" w:cs="Lexend Light" w:ascii="Lexend Light" w:hAnsi="Lexend Light"/>
                <w:color w:val="000000"/>
              </w:rPr>
              <w:t>Únicamente</w:t>
            </w:r>
            <w:r>
              <w:rPr>
                <w:color w:val="000000"/>
                <w:sz w:val="20"/>
                <w:szCs w:val="20"/>
              </w:rPr>
              <w:t xml:space="preserve"> </w:t>
            </w:r>
            <w:r>
              <w:rPr>
                <w:rFonts w:eastAsia="Lexend Light" w:cs="Lexend Light" w:ascii="Lexend Light" w:hAnsi="Lexend Light"/>
                <w:color w:val="000000"/>
              </w:rPr>
              <w:t xml:space="preserve">para proyectos presentados en la línea </w:t>
            </w:r>
            <w:r>
              <w:rPr>
                <w:rFonts w:eastAsia="Lexend Light" w:cs="Lexend Light" w:ascii="Lexend Light" w:hAnsi="Lexend Light"/>
                <w:i/>
              </w:rPr>
              <w:t>Procesos de producción y circulación de espectáculos de las artes escénicas. Recursos de la Contribución Parafiscal Cultural - Ley de Espectáculos Públicos-LEP</w:t>
            </w:r>
            <w:r>
              <w:rPr>
                <w:rFonts w:eastAsia="Lexend Light" w:cs="Lexend Light" w:ascii="Lexend Light" w:hAnsi="Lexend Light"/>
                <w:i/>
                <w:color w:val="000000"/>
              </w:rPr>
              <w:t>.</w:t>
            </w:r>
          </w:p>
          <w:p>
            <w:pPr>
              <w:pStyle w:val="Normal"/>
              <w:numPr>
                <w:ilvl w:val="1"/>
                <w:numId w:val="20"/>
              </w:numPr>
              <w:pBdr/>
              <w:tabs>
                <w:tab w:val="clear" w:pos="720"/>
                <w:tab w:val="left" w:pos="824" w:leader="none"/>
              </w:tabs>
              <w:spacing w:lineRule="auto" w:line="360"/>
              <w:ind w:left="823" w:right="120" w:hanging="360"/>
              <w:jc w:val="both"/>
              <w:rPr>
                <w:rFonts w:ascii="Lexend" w:hAnsi="Lexend" w:eastAsia="Lexend" w:cs="Lexend"/>
                <w:b/>
                <w:b/>
              </w:rPr>
            </w:pPr>
            <w:r>
              <w:rPr>
                <w:rFonts w:eastAsia="Lexend Light" w:cs="Lexend Light" w:ascii="Lexend Light" w:hAnsi="Lexend Light"/>
                <w:color w:val="000000"/>
              </w:rPr>
              <w:t>El registro como productor debe estar a nombre de la persona jurídica sin ánimo de lucro que presenta el proyecto.</w:t>
            </w:r>
          </w:p>
          <w:p>
            <w:pPr>
              <w:pStyle w:val="Normal"/>
              <w:numPr>
                <w:ilvl w:val="1"/>
                <w:numId w:val="20"/>
              </w:numPr>
              <w:tabs>
                <w:tab w:val="clear" w:pos="720"/>
                <w:tab w:val="left" w:pos="824" w:leader="none"/>
              </w:tabs>
              <w:spacing w:lineRule="auto" w:line="360" w:before="2" w:after="0"/>
              <w:ind w:left="823" w:right="127" w:hanging="360"/>
              <w:jc w:val="both"/>
              <w:rPr>
                <w:rFonts w:ascii="Lexend Light" w:hAnsi="Lexend Light" w:eastAsia="Lexend Light" w:cs="Lexend Light"/>
              </w:rPr>
            </w:pPr>
            <w:r>
              <w:rPr>
                <w:rFonts w:eastAsia="Lexend Light" w:cs="Lexend Light" w:ascii="Lexend Light" w:hAnsi="Lexend Light"/>
              </w:rPr>
              <w:t xml:space="preserve">El certificado debe estar vigente a la fecha de cierre de la convocatoria. </w:t>
            </w:r>
          </w:p>
        </w:tc>
        <w:tc>
          <w:tcPr>
            <w:tcW w:w="1879" w:type="dxa"/>
            <w:tcBorders>
              <w:top w:val="single" w:sz="18" w:space="0" w:color="6F2FA0"/>
              <w:left w:val="single" w:sz="18" w:space="0" w:color="6F2FA0"/>
              <w:bottom w:val="single" w:sz="18" w:space="0" w:color="6F2FA0"/>
              <w:right w:val="single" w:sz="18" w:space="0" w:color="6F2FA0"/>
            </w:tcBorders>
            <w:shd w:color="auto" w:fill="ECF1FA" w:val="clear"/>
            <w:vAlign w:val="center"/>
          </w:tcPr>
          <w:p>
            <w:pPr>
              <w:pStyle w:val="Normal"/>
              <w:pBdr/>
              <w:ind w:left="820" w:right="783" w:hanging="0"/>
              <w:jc w:val="center"/>
              <w:rPr>
                <w:rFonts w:ascii="Lexend Light" w:hAnsi="Lexend Light" w:eastAsia="Lexend Light" w:cs="Lexend Light"/>
                <w:color w:val="000000"/>
              </w:rPr>
            </w:pPr>
            <w:r>
              <w:rPr>
                <w:rFonts w:eastAsia="Lexend Light" w:cs="Lexend Light" w:ascii="Lexend Light" w:hAnsi="Lexend Light"/>
                <w:color w:val="000000"/>
              </w:rPr>
              <w:t>Si</w:t>
            </w:r>
          </w:p>
        </w:tc>
      </w:tr>
    </w:tbl>
    <w:p>
      <w:pPr>
        <w:pStyle w:val="Normal"/>
        <w:pBdr/>
        <w:rPr>
          <w:color w:val="000000"/>
          <w:sz w:val="20"/>
          <w:szCs w:val="20"/>
        </w:rPr>
      </w:pPr>
      <w:r>
        <w:rPr>
          <w:color w:val="000000"/>
          <w:sz w:val="20"/>
          <w:szCs w:val="20"/>
        </w:rPr>
      </w:r>
    </w:p>
    <w:p>
      <w:pPr>
        <w:pStyle w:val="Normal"/>
        <w:pBdr/>
        <w:spacing w:lineRule="auto" w:line="360"/>
        <w:jc w:val="both"/>
        <w:rPr>
          <w:color w:val="000000"/>
          <w:sz w:val="20"/>
          <w:szCs w:val="20"/>
        </w:rPr>
      </w:pPr>
      <w:r>
        <w:rPr>
          <w:rFonts w:eastAsia="Lexend" w:cs="Lexend" w:ascii="Lexend" w:hAnsi="Lexend"/>
          <w:b/>
          <w:color w:val="ED4FD0"/>
        </w:rPr>
        <w:t>Nota.</w:t>
      </w:r>
      <w:r>
        <w:rPr>
          <w:rFonts w:eastAsia="Lexend Light" w:cs="Lexend Light" w:ascii="Lexend Light" w:hAnsi="Lexend Light"/>
          <w:color w:val="000000"/>
        </w:rPr>
        <w:t xml:space="preserve"> Tenga presente que, para el trámite de suscripción del contrato con la entidad apoyada, la SCRD o la entidad adscrita que apoye el proyecto, le solicitará estos y otros documentos actualizados. Por lo tanto, es deber de esta, adelantar a tiempo los trámites necesarios para su actualización y entregarlos de manera oportuna.</w:t>
      </w:r>
    </w:p>
    <w:p>
      <w:pPr>
        <w:pStyle w:val="Normal"/>
        <w:pBdr/>
        <w:spacing w:before="2" w:after="0"/>
        <w:rPr>
          <w:color w:val="000000"/>
          <w:sz w:val="19"/>
          <w:szCs w:val="19"/>
        </w:rPr>
      </w:pPr>
      <w:r>
        <w:rPr>
          <w:color w:val="000000"/>
          <w:sz w:val="19"/>
          <w:szCs w:val="19"/>
        </w:rPr>
      </w:r>
    </w:p>
    <w:p>
      <w:pPr>
        <w:pStyle w:val="Ttulo2"/>
        <w:numPr>
          <w:ilvl w:val="1"/>
          <w:numId w:val="7"/>
        </w:numPr>
        <w:tabs>
          <w:tab w:val="clear" w:pos="720"/>
          <w:tab w:val="left" w:pos="1075" w:leader="none"/>
          <w:tab w:val="left" w:pos="1076" w:leader="none"/>
        </w:tabs>
        <w:spacing w:lineRule="auto" w:line="247"/>
        <w:ind w:left="1076" w:right="401" w:hanging="735"/>
        <w:jc w:val="both"/>
        <w:rPr>
          <w:rFonts w:ascii="Lexend Light" w:hAnsi="Lexend Light" w:eastAsia="Lexend Light" w:cs="Lexend Light"/>
          <w:color w:val="EC4ED0"/>
        </w:rPr>
      </w:pPr>
      <w:r>
        <w:rPr>
          <w:rFonts w:eastAsia="Lexend Light" w:cs="Lexend Light" w:ascii="Lexend Light" w:hAnsi="Lexend Light"/>
          <w:color w:val="2E5395"/>
        </w:rPr>
        <w:t>¿Cuáles son los documentos técnicos para inscribirse en la convocatoria?</w:t>
      </w:r>
    </w:p>
    <w:p>
      <w:pPr>
        <w:pStyle w:val="Normal"/>
        <w:pBdr/>
        <w:spacing w:lineRule="auto" w:line="367" w:before="236" w:after="0"/>
        <w:ind w:left="221" w:right="402" w:hanging="0"/>
        <w:jc w:val="both"/>
        <w:rPr>
          <w:color w:val="000000"/>
        </w:rPr>
      </w:pPr>
      <w:r>
        <w:rPr>
          <w:rFonts w:eastAsia="Lexend Light" w:cs="Lexend Light" w:ascii="Lexend Light" w:hAnsi="Lexend Light"/>
          <w:color w:val="000000"/>
        </w:rPr>
        <w:t xml:space="preserve">A continuación, están relacionados los documentos técnicos que las entidades proponentes deben cargar en la plataforma, al momento de realizar la inscripción de sus proyectos. Estos documentos </w:t>
      </w:r>
      <w:r>
        <w:rPr>
          <w:rFonts w:eastAsia="Lexend" w:cs="Lexend" w:ascii="Lexend" w:hAnsi="Lexend"/>
          <w:b/>
          <w:color w:val="ED4FD0"/>
        </w:rPr>
        <w:t>NO son subsanables</w:t>
      </w:r>
      <w:r>
        <w:rPr>
          <w:rFonts w:eastAsia="Lexend Light" w:cs="Lexend Light" w:ascii="Lexend Light" w:hAnsi="Lexend Light"/>
          <w:color w:val="000000"/>
        </w:rPr>
        <w:t xml:space="preserve">, es decir, que NO son susceptibles de ser completados, actualizados o corregidos en un momento posterior a la inscripción, por parte de la entidad participante. De modo que no presentarlos, presentarlos incompletos o con restricción de acceso que no permita su visualización y veriﬁcación (para el caso de enlaces web o documentos digitales), o presentarlos sin el cumplimiento de las condiciones previstas en este documento, implica que el proyecto no será </w:t>
      </w:r>
      <w:r>
        <w:rPr>
          <w:rFonts w:eastAsia="Lexend Light" w:cs="Lexend Light" w:ascii="Lexend Light" w:hAnsi="Lexend Light"/>
        </w:rPr>
        <w:t>habilitado</w:t>
      </w:r>
      <w:r>
        <w:rPr>
          <w:rFonts w:eastAsia="Lexend Light" w:cs="Lexend Light" w:ascii="Lexend Light" w:hAnsi="Lexend Light"/>
          <w:color w:val="000000"/>
        </w:rPr>
        <w:t>.</w:t>
      </w:r>
    </w:p>
    <w:p>
      <w:pPr>
        <w:pStyle w:val="Ttulo5"/>
        <w:numPr>
          <w:ilvl w:val="0"/>
          <w:numId w:val="4"/>
        </w:numPr>
        <w:tabs>
          <w:tab w:val="clear" w:pos="720"/>
          <w:tab w:val="left" w:pos="581" w:leader="none"/>
        </w:tabs>
        <w:spacing w:before="165" w:after="0"/>
        <w:rPr>
          <w:rFonts w:ascii="Lexend Light" w:hAnsi="Lexend Light" w:eastAsia="Lexend Light" w:cs="Lexend Light"/>
        </w:rPr>
      </w:pPr>
      <w:r>
        <w:rPr>
          <w:rFonts w:eastAsia="Lexend Light" w:cs="Lexend Light" w:ascii="Lexend Light" w:hAnsi="Lexend Light"/>
          <w:color w:val="EC52C1"/>
        </w:rPr>
        <w:t>Proyecto diligenciado a través de la plataforma – SICON</w:t>
      </w:r>
    </w:p>
    <w:p>
      <w:pPr>
        <w:pStyle w:val="Normal"/>
        <w:pBdr/>
        <w:spacing w:before="4" w:after="0"/>
        <w:rPr>
          <w:rFonts w:ascii="Tahoma" w:hAnsi="Tahoma" w:eastAsia="Tahoma" w:cs="Tahoma"/>
          <w:b/>
          <w:b/>
          <w:color w:val="000000"/>
          <w:sz w:val="25"/>
          <w:szCs w:val="25"/>
        </w:rPr>
      </w:pPr>
      <w:r>
        <w:rPr>
          <w:rFonts w:eastAsia="Tahoma" w:cs="Tahoma" w:ascii="Tahoma" w:hAnsi="Tahoma"/>
          <w:b/>
          <w:color w:val="000000"/>
          <w:sz w:val="25"/>
          <w:szCs w:val="25"/>
        </w:rPr>
      </w:r>
    </w:p>
    <w:p>
      <w:pPr>
        <w:pStyle w:val="Normal"/>
        <w:numPr>
          <w:ilvl w:val="1"/>
          <w:numId w:val="4"/>
        </w:numPr>
        <w:pBdr/>
        <w:tabs>
          <w:tab w:val="clear" w:pos="720"/>
          <w:tab w:val="left" w:pos="940" w:leader="none"/>
          <w:tab w:val="left" w:pos="941" w:leader="none"/>
        </w:tabs>
        <w:rPr>
          <w:rFonts w:ascii="Lexend Light" w:hAnsi="Lexend Light" w:eastAsia="Lexend Light" w:cs="Lexend Light"/>
          <w:color w:val="000000"/>
        </w:rPr>
      </w:pPr>
      <w:r>
        <w:rPr>
          <w:rFonts w:eastAsia="Lexend Light" w:cs="Lexend Light" w:ascii="Lexend Light" w:hAnsi="Lexend Light"/>
          <w:color w:val="000000"/>
        </w:rPr>
        <w:t>Diligenciado en su totalidad a través de la plataforma SICON.</w:t>
      </w:r>
    </w:p>
    <w:p>
      <w:pPr>
        <w:pStyle w:val="Normal"/>
        <w:pBdr/>
        <w:spacing w:before="1" w:after="0"/>
        <w:rPr>
          <w:rFonts w:ascii="Lexend Light" w:hAnsi="Lexend Light" w:eastAsia="Lexend Light" w:cs="Lexend Light"/>
          <w:color w:val="000000"/>
        </w:rPr>
      </w:pPr>
      <w:r>
        <w:rPr>
          <w:rFonts w:eastAsia="Lexend Light" w:cs="Lexend Light" w:ascii="Lexend Light" w:hAnsi="Lexend Light"/>
          <w:color w:val="000000"/>
        </w:rPr>
      </w:r>
    </w:p>
    <w:p>
      <w:pPr>
        <w:pStyle w:val="Normal"/>
        <w:numPr>
          <w:ilvl w:val="1"/>
          <w:numId w:val="4"/>
        </w:numPr>
        <w:pBdr/>
        <w:tabs>
          <w:tab w:val="clear" w:pos="720"/>
          <w:tab w:val="left" w:pos="941" w:leader="none"/>
        </w:tabs>
        <w:spacing w:lineRule="auto" w:line="367"/>
        <w:ind w:left="941" w:right="399" w:hanging="360"/>
        <w:jc w:val="both"/>
        <w:rPr>
          <w:rFonts w:ascii="Lexend Light" w:hAnsi="Lexend Light" w:eastAsia="Lexend Light" w:cs="Lexend Light"/>
          <w:color w:val="000000"/>
        </w:rPr>
      </w:pPr>
      <w:r>
        <w:rPr>
          <w:rFonts w:eastAsia="Lexend Light" w:cs="Lexend Light" w:ascii="Lexend Light" w:hAnsi="Lexend Light"/>
          <w:color w:val="000000"/>
        </w:rPr>
        <w:t>Tenga presente que, una vez cumplido el plazo de inscripción a la convocatoria, no se podrán tramitar cambios o ajustes al proyecto presentado o a la línea de participación seleccionada.</w:t>
      </w:r>
    </w:p>
    <w:p>
      <w:pPr>
        <w:pStyle w:val="Ttulo5"/>
        <w:numPr>
          <w:ilvl w:val="0"/>
          <w:numId w:val="4"/>
        </w:numPr>
        <w:tabs>
          <w:tab w:val="clear" w:pos="720"/>
          <w:tab w:val="left" w:pos="581" w:leader="none"/>
        </w:tabs>
        <w:spacing w:before="163" w:after="0"/>
        <w:rPr>
          <w:rFonts w:ascii="Lexend Light" w:hAnsi="Lexend Light" w:eastAsia="Lexend Light" w:cs="Lexend Light"/>
          <w:color w:val="EC52C1"/>
        </w:rPr>
      </w:pPr>
      <w:r>
        <w:rPr>
          <w:rFonts w:eastAsia="Lexend Light" w:cs="Lexend Light" w:ascii="Lexend Light" w:hAnsi="Lexend Light"/>
          <w:color w:val="EC52C1"/>
        </w:rPr>
        <w:t>Soportes del proyecto en caso de versiones anteriores</w:t>
      </w:r>
    </w:p>
    <w:p>
      <w:pPr>
        <w:pStyle w:val="Normal"/>
        <w:pBdr/>
        <w:spacing w:before="4" w:after="0"/>
        <w:rPr>
          <w:rFonts w:ascii="Tahoma" w:hAnsi="Tahoma" w:eastAsia="Tahoma" w:cs="Tahoma"/>
          <w:b/>
          <w:b/>
          <w:color w:val="000000"/>
          <w:sz w:val="25"/>
          <w:szCs w:val="25"/>
        </w:rPr>
      </w:pPr>
      <w:r>
        <w:rPr>
          <w:rFonts w:eastAsia="Tahoma" w:cs="Tahoma" w:ascii="Tahoma" w:hAnsi="Tahoma"/>
          <w:b/>
          <w:color w:val="000000"/>
          <w:sz w:val="25"/>
          <w:szCs w:val="25"/>
        </w:rPr>
      </w:r>
    </w:p>
    <w:p>
      <w:pPr>
        <w:pStyle w:val="Normal"/>
        <w:pBdr/>
        <w:spacing w:lineRule="auto" w:line="367"/>
        <w:ind w:left="581" w:right="399" w:hanging="0"/>
        <w:jc w:val="both"/>
        <w:rPr>
          <w:color w:val="000000"/>
        </w:rPr>
      </w:pPr>
      <w:r>
        <w:rPr>
          <w:rFonts w:eastAsia="Lexend Light" w:cs="Lexend Light" w:ascii="Lexend Light" w:hAnsi="Lexend Light"/>
          <w:color w:val="000000"/>
        </w:rPr>
        <w:t>Registros y soportes que den cuenta de la trayectoria del proyecto en caso de contar con versiones anteriores (reseñas de prensa, registro fotográﬁco y audiovisual, material de promoción y difusión, entre otros). Estos soportes se deberán consolidar en un solo documento PDF en el que se podrán incluir enlaces a páginas web. Esta documentación se deberá adjuntar independientemente de que el proyecto haya sido apoyado por el PDAC en versiones anteriores.</w:t>
      </w:r>
    </w:p>
    <w:p>
      <w:pPr>
        <w:sectPr>
          <w:headerReference w:type="default" r:id="rId18"/>
          <w:footerReference w:type="default" r:id="rId19"/>
          <w:type w:val="nextPage"/>
          <w:pgSz w:w="12240" w:h="15840"/>
          <w:pgMar w:left="1480" w:right="1300" w:header="30" w:top="1500" w:footer="1701" w:bottom="1980" w:gutter="0"/>
          <w:pgNumType w:fmt="decimal"/>
          <w:formProt w:val="false"/>
          <w:textDirection w:val="lrTb"/>
          <w:docGrid w:type="default" w:linePitch="100" w:charSpace="4096"/>
        </w:sectPr>
        <w:pStyle w:val="Normal"/>
        <w:pBdr/>
        <w:spacing w:lineRule="auto" w:line="367" w:before="166" w:after="0"/>
        <w:ind w:left="581" w:right="402" w:hanging="0"/>
        <w:jc w:val="both"/>
        <w:rPr>
          <w:color w:val="000000"/>
        </w:rPr>
      </w:pPr>
      <w:r>
        <w:rPr>
          <w:rFonts w:eastAsia="Lexend Light" w:cs="Lexend Light" w:ascii="Lexend Light" w:hAnsi="Lexend Light"/>
          <w:color w:val="EC4ED0"/>
        </w:rPr>
        <w:t>Nota</w:t>
      </w:r>
      <w:r>
        <w:rPr>
          <w:color w:val="000000"/>
        </w:rPr>
        <w:t>.</w:t>
      </w:r>
      <w:r>
        <w:rPr/>
        <w:t xml:space="preserve"> </w:t>
      </w:r>
      <w:r>
        <w:rPr>
          <w:rFonts w:eastAsia="Lexend Light" w:cs="Lexend Light" w:ascii="Lexend Light" w:hAnsi="Lexend Light"/>
          <w:color w:val="000000"/>
        </w:rPr>
        <w:t>Todos los soportes documentales (certiﬁcaciones, reconocimientos, resoluciones, premios, participaciones en festivales u otros, notas de prensa, programas de mano, piezas de difusión, presentaciones, reportes de tráﬁco de páginas web), deben incluir como mínimo fecha y año de las acciones o actividades que se pretende evidenciar.</w:t>
      </w:r>
    </w:p>
    <w:p>
      <w:pPr>
        <w:pStyle w:val="Normal"/>
        <w:pBdr/>
        <w:spacing w:before="6" w:after="0"/>
        <w:rPr>
          <w:color w:val="000000"/>
          <w:sz w:val="17"/>
          <w:szCs w:val="17"/>
        </w:rPr>
      </w:pPr>
      <w:r>
        <w:rPr>
          <w:color w:val="000000"/>
          <w:sz w:val="17"/>
          <w:szCs w:val="17"/>
        </w:rPr>
      </w:r>
    </w:p>
    <w:p>
      <w:pPr>
        <w:pStyle w:val="Ttulo1"/>
        <w:numPr>
          <w:ilvl w:val="0"/>
          <w:numId w:val="9"/>
        </w:numPr>
        <w:tabs>
          <w:tab w:val="clear" w:pos="720"/>
          <w:tab w:val="left" w:pos="641" w:leader="none"/>
        </w:tabs>
        <w:spacing w:lineRule="auto" w:line="247"/>
        <w:ind w:left="641" w:right="407" w:hanging="420"/>
        <w:jc w:val="both"/>
        <w:rPr/>
      </w:pPr>
      <w:r>
        <w:rPr>
          <w:rFonts w:eastAsia="Lexend Light" w:cs="Lexend Light" w:ascii="Lexend Light" w:hAnsi="Lexend Light"/>
          <w:color w:val="2E5395"/>
        </w:rPr>
        <w:t>Veriﬁcación de documentación e idoneidad y evaluación técnica de los proyectos participantes en la modalidad locales e interlocales</w:t>
      </w:r>
    </w:p>
    <w:p>
      <w:pPr>
        <w:pStyle w:val="Normal"/>
        <w:pBdr/>
        <w:spacing w:lineRule="auto" w:line="367" w:before="234" w:after="0"/>
        <w:ind w:left="221" w:right="399" w:hanging="0"/>
        <w:jc w:val="both"/>
        <w:rPr>
          <w:rFonts w:ascii="Lexend Light" w:hAnsi="Lexend Light" w:eastAsia="Lexend Light" w:cs="Lexend Light"/>
          <w:color w:val="000000"/>
        </w:rPr>
      </w:pPr>
      <w:r>
        <w:rPr>
          <w:rFonts w:eastAsia="Lexend Light" w:cs="Lexend Light" w:ascii="Lexend Light" w:hAnsi="Lexend Light"/>
          <w:color w:val="000000"/>
        </w:rPr>
        <w:t>Una vez ﬁnalizado el plazo de inscripción a la convocatoria, la entidad encargada de la veriﬁcación y evaluación:</w:t>
      </w:r>
    </w:p>
    <w:p>
      <w:pPr>
        <w:pStyle w:val="Normal"/>
        <w:numPr>
          <w:ilvl w:val="0"/>
          <w:numId w:val="25"/>
        </w:numPr>
        <w:pBdr/>
        <w:tabs>
          <w:tab w:val="clear" w:pos="720"/>
          <w:tab w:val="left" w:pos="581" w:leader="none"/>
        </w:tabs>
        <w:spacing w:lineRule="auto" w:line="367" w:before="161" w:after="0"/>
        <w:ind w:left="581" w:right="399" w:hanging="360"/>
        <w:jc w:val="both"/>
        <w:rPr>
          <w:rFonts w:ascii="Lexend Light" w:hAnsi="Lexend Light" w:eastAsia="Lexend Light" w:cs="Lexend Light"/>
          <w:color w:val="000000"/>
        </w:rPr>
      </w:pPr>
      <w:r>
        <w:rPr>
          <w:rFonts w:eastAsia="Lexend Light" w:cs="Lexend Light" w:ascii="Lexend Light" w:hAnsi="Lexend Light"/>
          <w:color w:val="000000"/>
        </w:rPr>
        <w:t>Veriﬁcará que la documentación administrativa y técnica aportada por la entidad participante cumpla con lo establecido en las Condiciones Generales de Participación de la convocatoria.</w:t>
      </w:r>
    </w:p>
    <w:p>
      <w:pPr>
        <w:pStyle w:val="Normal"/>
        <w:numPr>
          <w:ilvl w:val="0"/>
          <w:numId w:val="25"/>
        </w:numPr>
        <w:pBdr/>
        <w:tabs>
          <w:tab w:val="clear" w:pos="720"/>
          <w:tab w:val="left" w:pos="581" w:leader="none"/>
        </w:tabs>
        <w:spacing w:lineRule="auto" w:line="367" w:before="161" w:after="0"/>
        <w:ind w:left="581" w:right="399" w:hanging="360"/>
        <w:jc w:val="both"/>
        <w:rPr>
          <w:rFonts w:ascii="Lexend Light" w:hAnsi="Lexend Light" w:eastAsia="Lexend Light" w:cs="Lexend Light"/>
          <w:color w:val="000000"/>
        </w:rPr>
      </w:pPr>
      <w:r>
        <w:rPr>
          <w:rFonts w:eastAsia="Lexend Light" w:cs="Lexend Light" w:ascii="Lexend Light" w:hAnsi="Lexend Light"/>
          <w:color w:val="000000"/>
        </w:rPr>
        <w:t>Veriﬁcará que las entidades participantes cumplan con los requisitos de experiencia e idoneidad administrativa establecidos en las Condiciones Generales de Participación de la convocatoria, con base en la documentación técnica aportada.</w:t>
      </w:r>
    </w:p>
    <w:p>
      <w:pPr>
        <w:pStyle w:val="Normal"/>
        <w:numPr>
          <w:ilvl w:val="0"/>
          <w:numId w:val="25"/>
        </w:numPr>
        <w:pBdr/>
        <w:tabs>
          <w:tab w:val="clear" w:pos="720"/>
          <w:tab w:val="left" w:pos="581" w:leader="none"/>
        </w:tabs>
        <w:spacing w:lineRule="auto" w:line="367" w:before="161" w:after="0"/>
        <w:ind w:left="581" w:right="399" w:hanging="360"/>
        <w:jc w:val="both"/>
        <w:rPr>
          <w:rFonts w:ascii="Lexend Light" w:hAnsi="Lexend Light" w:eastAsia="Lexend Light" w:cs="Lexend Light"/>
          <w:color w:val="000000"/>
        </w:rPr>
      </w:pPr>
      <w:r>
        <w:rPr>
          <w:rFonts w:eastAsia="Lexend Light" w:cs="Lexend Light" w:ascii="Lexend Light" w:hAnsi="Lexend Light"/>
          <w:color w:val="000000"/>
        </w:rPr>
        <w:t>Realizará la evaluación técnica del proyecto de acuerdo con los criterios y puntaje establecidos en las Condiciones Generales de Participación de la convocatoria.</w:t>
      </w:r>
    </w:p>
    <w:p>
      <w:pPr>
        <w:pStyle w:val="Ttulo2"/>
        <w:numPr>
          <w:ilvl w:val="1"/>
          <w:numId w:val="9"/>
        </w:numPr>
        <w:tabs>
          <w:tab w:val="clear" w:pos="720"/>
          <w:tab w:val="left" w:pos="1016" w:leader="none"/>
        </w:tabs>
        <w:spacing w:lineRule="auto" w:line="247" w:before="163" w:after="0"/>
        <w:ind w:left="1016" w:right="401" w:hanging="735"/>
        <w:jc w:val="both"/>
        <w:rPr>
          <w:rFonts w:ascii="Lexend Light" w:hAnsi="Lexend Light" w:eastAsia="Lexend Light" w:cs="Lexend Light"/>
          <w:color w:val="F150D4"/>
        </w:rPr>
      </w:pPr>
      <w:r>
        <w:rPr>
          <w:rFonts w:eastAsia="Lexend Light" w:cs="Lexend Light" w:ascii="Lexend Light" w:hAnsi="Lexend Light"/>
          <w:color w:val="2E5395"/>
        </w:rPr>
        <w:t>¿En qué consiste el proceso de veriﬁcación de documentación administrativa y técnica de los proyectos participantes?</w:t>
      </w:r>
    </w:p>
    <w:p>
      <w:pPr>
        <w:pStyle w:val="Ttulo2"/>
        <w:tabs>
          <w:tab w:val="clear" w:pos="720"/>
          <w:tab w:val="left" w:pos="1016" w:leader="none"/>
        </w:tabs>
        <w:spacing w:lineRule="auto" w:line="247" w:before="163" w:after="0"/>
        <w:ind w:left="1016" w:right="401" w:hanging="0"/>
        <w:jc w:val="both"/>
        <w:rPr>
          <w:rFonts w:ascii="Lexend Light" w:hAnsi="Lexend Light" w:eastAsia="Lexend Light" w:cs="Lexend Light"/>
          <w:color w:val="F150D4"/>
        </w:rPr>
      </w:pPr>
      <w:r>
        <w:rPr>
          <w:rFonts w:eastAsia="Lexend Light" w:cs="Lexend Light" w:ascii="Lexend Light" w:hAnsi="Lexend Light"/>
          <w:color w:val="F150D4"/>
        </w:rPr>
      </w:r>
    </w:p>
    <w:p>
      <w:pPr>
        <w:pStyle w:val="Normal"/>
        <w:widowControl/>
        <w:numPr>
          <w:ilvl w:val="2"/>
          <w:numId w:val="15"/>
        </w:numPr>
        <w:pBdr/>
        <w:spacing w:lineRule="auto" w:line="360" w:before="9" w:after="0"/>
        <w:ind w:left="930" w:hanging="504"/>
        <w:rPr/>
      </w:pPr>
      <w:r>
        <w:rPr>
          <w:rFonts w:eastAsia="Lexend Light" w:cs="Lexend Light" w:ascii="Lexend Light" w:hAnsi="Lexend Light"/>
          <w:color w:val="ED4FD0"/>
          <w:u w:val="single"/>
        </w:rPr>
        <w:t xml:space="preserve"> </w:t>
      </w:r>
      <w:r>
        <w:rPr>
          <w:rFonts w:eastAsia="Lexend Light" w:cs="Lexend Light" w:ascii="Lexend Light" w:hAnsi="Lexend Light"/>
          <w:color w:val="ED4FD0"/>
          <w:u w:val="single"/>
        </w:rPr>
        <w:t>Veriﬁcación Inicial</w:t>
      </w:r>
    </w:p>
    <w:p>
      <w:pPr>
        <w:pStyle w:val="Normal"/>
        <w:pBdr/>
        <w:spacing w:lineRule="auto" w:line="367"/>
        <w:ind w:left="221" w:right="400" w:hanging="0"/>
        <w:jc w:val="both"/>
        <w:rPr>
          <w:color w:val="000000"/>
          <w:sz w:val="20"/>
          <w:szCs w:val="20"/>
        </w:rPr>
      </w:pPr>
      <w:r>
        <w:rPr>
          <w:rFonts w:eastAsia="Lexend Light" w:cs="Lexend Light" w:ascii="Lexend Light" w:hAnsi="Lexend Light"/>
          <w:color w:val="000000"/>
        </w:rPr>
        <w:t>La entidad encargada de la veriﬁcación y evaluación revisará que las entidades participantes hayan diligenciado en la plataforma el proyecto y adjuntado todos los documentos administrativos y técnicos requeridos y, que estos cumplan con los requisitos establecidos en las Condiciones Generales de Participación de la convocatoria.</w:t>
      </w:r>
    </w:p>
    <w:p>
      <w:pPr>
        <w:pStyle w:val="Normal"/>
        <w:pBdr/>
        <w:spacing w:before="11" w:after="0"/>
        <w:rPr>
          <w:color w:val="000000"/>
          <w:sz w:val="16"/>
          <w:szCs w:val="16"/>
        </w:rPr>
      </w:pPr>
      <w:r>
        <w:rPr>
          <w:color w:val="000000"/>
          <w:sz w:val="16"/>
          <w:szCs w:val="16"/>
        </w:rPr>
      </w:r>
    </w:p>
    <w:p>
      <w:pPr>
        <w:pStyle w:val="Normal"/>
        <w:spacing w:lineRule="auto" w:line="367" w:before="106" w:after="0"/>
        <w:ind w:left="221" w:right="407" w:hanging="0"/>
        <w:jc w:val="both"/>
        <w:rPr>
          <w:rFonts w:ascii="Lexend Light" w:hAnsi="Lexend Light" w:eastAsia="Lexend Light" w:cs="Lexend Light"/>
        </w:rPr>
      </w:pPr>
      <w:r>
        <w:rPr>
          <w:rFonts w:eastAsia="Lexend Light" w:cs="Lexend Light" w:ascii="Lexend Light" w:hAnsi="Lexend Light"/>
        </w:rPr>
        <w:t xml:space="preserve">Concluida esta veriﬁcación se publicará el </w:t>
      </w:r>
      <w:r>
        <w:rPr>
          <w:rFonts w:eastAsia="Lexend Light" w:cs="Lexend Light" w:ascii="Lexend Light" w:hAnsi="Lexend Light"/>
          <w:i/>
        </w:rPr>
        <w:t>listado de proyectos habilitados, no habilitados y por subsanar</w:t>
      </w:r>
      <w:r>
        <w:rPr>
          <w:rFonts w:eastAsia="Lexend Light" w:cs="Lexend Light" w:ascii="Lexend Light" w:hAnsi="Lexend Light"/>
        </w:rPr>
        <w:t>, de acuerdo con las siguientes deﬁniciones:</w:t>
      </w:r>
    </w:p>
    <w:p>
      <w:pPr>
        <w:pStyle w:val="Normal"/>
        <w:pBdr/>
        <w:spacing w:lineRule="auto" w:line="367" w:before="202" w:after="0"/>
        <w:ind w:left="221" w:right="400" w:hanging="0"/>
        <w:jc w:val="both"/>
        <w:rPr>
          <w:color w:val="000000"/>
        </w:rPr>
      </w:pPr>
      <w:r>
        <w:rPr>
          <w:rFonts w:eastAsia="Lexend Light" w:cs="Lexend Light" w:ascii="Lexend Light" w:hAnsi="Lexend Light"/>
          <w:b/>
          <w:color w:val="EC4ED0"/>
        </w:rPr>
        <w:t>Habilitado</w:t>
      </w:r>
      <w:r>
        <w:rPr>
          <w:color w:val="EC4ED0"/>
        </w:rPr>
        <w:t xml:space="preserve">. </w:t>
      </w:r>
      <w:r>
        <w:rPr>
          <w:rFonts w:eastAsia="Lexend Light" w:cs="Lexend Light" w:ascii="Lexend Light" w:hAnsi="Lexend Light"/>
          <w:color w:val="000000"/>
        </w:rPr>
        <w:t>Proyecto diligenciado en su totalidad en la plataforma y para el cual la entidad participante aportó, completa y cumpliendo todos los requisitos establecidos en las Condiciones Generales de Participación de la convocatoria, la documentación administrativa y técnica requerida.</w:t>
      </w:r>
    </w:p>
    <w:p>
      <w:pPr>
        <w:pStyle w:val="Normal"/>
        <w:spacing w:before="202" w:after="0"/>
        <w:ind w:left="221" w:hanging="0"/>
        <w:jc w:val="both"/>
        <w:rPr/>
      </w:pPr>
      <w:r>
        <w:rPr>
          <w:rFonts w:eastAsia="Lexend Light" w:cs="Lexend Light" w:ascii="Lexend Light" w:hAnsi="Lexend Light"/>
          <w:b/>
          <w:color w:val="EC4ED0"/>
        </w:rPr>
        <w:t>No habilitado</w:t>
      </w:r>
      <w:r>
        <w:rPr>
          <w:color w:val="EC4ED0"/>
        </w:rPr>
        <w:t xml:space="preserve">. </w:t>
      </w:r>
      <w:r>
        <w:rPr>
          <w:rFonts w:eastAsia="Lexend Light" w:cs="Lexend Light" w:ascii="Lexend Light" w:hAnsi="Lexend Light"/>
        </w:rPr>
        <w:t>Proyecto que:</w:t>
      </w:r>
    </w:p>
    <w:p>
      <w:pPr>
        <w:pStyle w:val="Normal"/>
        <w:pBdr/>
        <w:spacing w:before="5" w:after="0"/>
        <w:rPr>
          <w:color w:val="000000"/>
          <w:sz w:val="28"/>
          <w:szCs w:val="28"/>
        </w:rPr>
      </w:pPr>
      <w:r>
        <w:rPr>
          <w:color w:val="000000"/>
          <w:sz w:val="28"/>
          <w:szCs w:val="28"/>
        </w:rPr>
      </w:r>
    </w:p>
    <w:p>
      <w:pPr>
        <w:pStyle w:val="Normal"/>
        <w:numPr>
          <w:ilvl w:val="0"/>
          <w:numId w:val="5"/>
        </w:numPr>
        <w:pBdr/>
        <w:tabs>
          <w:tab w:val="clear" w:pos="720"/>
          <w:tab w:val="left" w:pos="581" w:leader="none"/>
        </w:tabs>
        <w:jc w:val="both"/>
        <w:rPr>
          <w:rFonts w:ascii="Lexend Light" w:hAnsi="Lexend Light" w:eastAsia="Lexend Light" w:cs="Lexend Light"/>
        </w:rPr>
      </w:pPr>
      <w:r>
        <w:rPr>
          <w:rFonts w:eastAsia="Lexend Light" w:cs="Lexend Light" w:ascii="Lexend Light" w:hAnsi="Lexend Light"/>
          <w:color w:val="000000"/>
        </w:rPr>
        <w:t>No fue diligenciado en su totalidad en la plataforma.</w:t>
      </w:r>
    </w:p>
    <w:p>
      <w:pPr>
        <w:pStyle w:val="Normal"/>
        <w:numPr>
          <w:ilvl w:val="0"/>
          <w:numId w:val="5"/>
        </w:numPr>
        <w:pBdr/>
        <w:tabs>
          <w:tab w:val="clear" w:pos="720"/>
          <w:tab w:val="left" w:pos="581" w:leader="none"/>
        </w:tabs>
        <w:spacing w:lineRule="auto" w:line="367" w:before="145" w:after="0"/>
        <w:ind w:left="581" w:right="404" w:hanging="360"/>
        <w:jc w:val="both"/>
        <w:rPr>
          <w:rFonts w:ascii="Lexend Light" w:hAnsi="Lexend Light" w:eastAsia="Lexend Light" w:cs="Lexend Light"/>
        </w:rPr>
      </w:pPr>
      <w:r>
        <w:rPr>
          <w:rFonts w:eastAsia="Lexend Light" w:cs="Lexend Light" w:ascii="Lexend Light" w:hAnsi="Lexend Light"/>
          <w:color w:val="000000"/>
        </w:rPr>
        <w:t>No aportó, completa y cumpliendo todos los requisitos establecidos en las Condiciones Generales de Participación de la convocatoria, la documentación técnica requerida.</w:t>
      </w:r>
    </w:p>
    <w:p>
      <w:pPr>
        <w:pStyle w:val="Normal"/>
        <w:numPr>
          <w:ilvl w:val="0"/>
          <w:numId w:val="5"/>
        </w:numPr>
        <w:pBdr/>
        <w:tabs>
          <w:tab w:val="clear" w:pos="720"/>
          <w:tab w:val="left" w:pos="581" w:leader="none"/>
        </w:tabs>
        <w:spacing w:before="3" w:after="0"/>
        <w:jc w:val="both"/>
        <w:rPr>
          <w:rFonts w:ascii="Lexend Light" w:hAnsi="Lexend Light" w:eastAsia="Lexend Light" w:cs="Lexend Light"/>
        </w:rPr>
      </w:pPr>
      <w:r>
        <w:rPr>
          <w:rFonts w:eastAsia="Lexend Light" w:cs="Lexend Light" w:ascii="Lexend Light" w:hAnsi="Lexend Light"/>
          <w:color w:val="000000"/>
        </w:rPr>
        <w:t>No cumplió con la subsanación requerida.</w:t>
      </w:r>
    </w:p>
    <w:p>
      <w:pPr>
        <w:pStyle w:val="Normal"/>
        <w:numPr>
          <w:ilvl w:val="0"/>
          <w:numId w:val="5"/>
        </w:numPr>
        <w:pBdr/>
        <w:tabs>
          <w:tab w:val="clear" w:pos="720"/>
          <w:tab w:val="left" w:pos="581" w:leader="none"/>
        </w:tabs>
        <w:spacing w:lineRule="auto" w:line="367" w:before="145" w:after="0"/>
        <w:ind w:left="581" w:right="403" w:hanging="360"/>
        <w:jc w:val="both"/>
        <w:rPr>
          <w:rFonts w:ascii="Lexend Light" w:hAnsi="Lexend Light" w:eastAsia="Lexend Light" w:cs="Lexend Light"/>
        </w:rPr>
      </w:pPr>
      <w:r>
        <w:rPr>
          <w:rFonts w:eastAsia="Lexend Light" w:cs="Lexend Light" w:ascii="Lexend Light" w:hAnsi="Lexend Light"/>
          <w:color w:val="000000"/>
        </w:rPr>
        <w:t>La entidad participante que lo presentó no cumple con los requisitos o incurre en alguna de las inhabilidades o causales de rechazo señaladas en las Condiciones Generales de Participación de la convocatoria.</w:t>
      </w:r>
    </w:p>
    <w:p>
      <w:pPr>
        <w:pStyle w:val="Normal"/>
        <w:pBdr/>
        <w:spacing w:lineRule="auto" w:line="367" w:before="202" w:after="0"/>
        <w:ind w:left="221" w:right="402" w:hanging="0"/>
        <w:jc w:val="both"/>
        <w:rPr>
          <w:color w:val="000000"/>
        </w:rPr>
      </w:pPr>
      <w:r>
        <w:rPr>
          <w:rFonts w:eastAsia="Lexend Light" w:cs="Lexend Light" w:ascii="Lexend Light" w:hAnsi="Lexend Light"/>
          <w:b/>
          <w:color w:val="EC4ED0"/>
        </w:rPr>
        <w:t>Por subsanar.</w:t>
      </w:r>
      <w:r>
        <w:rPr>
          <w:color w:val="000000"/>
        </w:rPr>
        <w:t xml:space="preserve"> </w:t>
      </w:r>
      <w:r>
        <w:rPr>
          <w:rFonts w:eastAsia="Lexend Light" w:cs="Lexend Light" w:ascii="Lexend Light" w:hAnsi="Lexend Light"/>
          <w:color w:val="000000"/>
        </w:rPr>
        <w:t>Proyecto que debe subsanar uno o varios documentos administrativos, porque no fueron aportados al momento de la inscripción o porque si bien lo fueron, no cumplen con los requisitos establecidos en las Condiciones Generales de Participación de la convocatoria.</w:t>
      </w:r>
    </w:p>
    <w:p>
      <w:pPr>
        <w:pStyle w:val="Normal"/>
        <w:pBdr/>
        <w:spacing w:lineRule="auto" w:line="367" w:before="203" w:after="0"/>
        <w:ind w:left="221" w:right="399" w:hanging="0"/>
        <w:jc w:val="both"/>
        <w:rPr>
          <w:rFonts w:ascii="Lexend Light" w:hAnsi="Lexend Light" w:eastAsia="Lexend Light" w:cs="Lexend Light"/>
          <w:color w:val="000000"/>
        </w:rPr>
      </w:pPr>
      <w:r>
        <w:rPr>
          <w:rFonts w:eastAsia="Lexend Light" w:cs="Lexend Light" w:ascii="Lexend Light" w:hAnsi="Lexend Light"/>
          <w:b/>
          <w:color w:val="EC4ED0"/>
        </w:rPr>
        <w:t>Nota</w:t>
      </w:r>
      <w:r>
        <w:rPr>
          <w:color w:val="EC4ED0"/>
        </w:rPr>
        <w:t xml:space="preserve">. </w:t>
      </w:r>
      <w:r>
        <w:rPr>
          <w:rFonts w:eastAsia="Lexend Light" w:cs="Lexend Light" w:ascii="Lexend Light" w:hAnsi="Lexend Light"/>
          <w:color w:val="000000"/>
        </w:rPr>
        <w:t xml:space="preserve">Es nuestro deber informar que nos reservamos el derecho de realizar correcciones, cuando a ello hubiere lugar, sobre estados o causales de </w:t>
      </w:r>
      <w:r>
        <w:rPr>
          <w:rFonts w:eastAsia="Lexend Light" w:cs="Lexend Light" w:ascii="Lexend Light" w:hAnsi="Lexend Light"/>
        </w:rPr>
        <w:t xml:space="preserve">no habilitación </w:t>
      </w:r>
      <w:r>
        <w:rPr>
          <w:rFonts w:eastAsia="Lexend Light" w:cs="Lexend Light" w:ascii="Lexend Light" w:hAnsi="Lexend Light"/>
          <w:color w:val="000000"/>
        </w:rPr>
        <w:t>publicad</w:t>
      </w:r>
      <w:r>
        <w:rPr>
          <w:rFonts w:eastAsia="Lexend Light" w:cs="Lexend Light" w:ascii="Lexend Light" w:hAnsi="Lexend Light"/>
        </w:rPr>
        <w:t>o</w:t>
      </w:r>
      <w:r>
        <w:rPr>
          <w:rFonts w:eastAsia="Lexend Light" w:cs="Lexend Light" w:ascii="Lexend Light" w:hAnsi="Lexend Light"/>
          <w:color w:val="000000"/>
        </w:rPr>
        <w:t>s, en cualquier momento del desarrollo de la convocatoria.</w:t>
      </w:r>
    </w:p>
    <w:p>
      <w:pPr>
        <w:pStyle w:val="Normal"/>
        <w:pBdr/>
        <w:spacing w:before="6" w:after="0"/>
        <w:rPr>
          <w:color w:val="000000"/>
          <w:sz w:val="17"/>
          <w:szCs w:val="17"/>
        </w:rPr>
      </w:pPr>
      <w:r>
        <w:rPr>
          <w:color w:val="000000"/>
          <w:sz w:val="17"/>
          <w:szCs w:val="17"/>
        </w:rPr>
      </w:r>
    </w:p>
    <w:p>
      <w:pPr>
        <w:pStyle w:val="Normal"/>
        <w:widowControl/>
        <w:numPr>
          <w:ilvl w:val="2"/>
          <w:numId w:val="15"/>
        </w:numPr>
        <w:pBdr/>
        <w:spacing w:lineRule="auto" w:line="360" w:before="9" w:after="0"/>
        <w:ind w:left="930" w:hanging="504"/>
        <w:rPr>
          <w:rFonts w:ascii="Lexend Light" w:hAnsi="Lexend Light" w:eastAsia="Lexend Light" w:cs="Lexend Light"/>
          <w:color w:val="ED4FD0"/>
          <w:u w:val="single"/>
        </w:rPr>
      </w:pPr>
      <w:r>
        <w:rPr>
          <w:rFonts w:eastAsia="Lexend Light" w:cs="Lexend Light" w:ascii="Lexend Light" w:hAnsi="Lexend Light"/>
          <w:color w:val="ED4FD0"/>
          <w:u w:val="single"/>
        </w:rPr>
        <w:t xml:space="preserve"> </w:t>
      </w:r>
      <w:r>
        <w:rPr>
          <w:rFonts w:eastAsia="Lexend Light" w:cs="Lexend Light" w:ascii="Lexend Light" w:hAnsi="Lexend Light"/>
          <w:color w:val="ED4FD0"/>
          <w:u w:val="single"/>
        </w:rPr>
        <w:t>Subsanación de documentos administrativos</w:t>
      </w:r>
    </w:p>
    <w:p>
      <w:pPr>
        <w:pStyle w:val="Normal"/>
        <w:spacing w:lineRule="auto" w:line="367" w:before="240" w:after="0"/>
        <w:ind w:left="221" w:right="399" w:hanging="0"/>
        <w:jc w:val="both"/>
        <w:rPr>
          <w:rFonts w:ascii="Lexend Light" w:hAnsi="Lexend Light" w:eastAsia="Lexend Light" w:cs="Lexend Light"/>
        </w:rPr>
      </w:pPr>
      <w:r>
        <w:rPr>
          <w:rFonts w:eastAsia="Lexend Light" w:cs="Lexend Light" w:ascii="Lexend Light" w:hAnsi="Lexend Light"/>
        </w:rPr>
        <w:t xml:space="preserve">A partir de la publicación del </w:t>
      </w:r>
      <w:r>
        <w:rPr>
          <w:rFonts w:eastAsia="Lexend Light" w:cs="Lexend Light" w:ascii="Lexend Light" w:hAnsi="Lexend Light"/>
          <w:i/>
        </w:rPr>
        <w:t>listado de proyectos habilitados, no habilitados y por subsanar</w:t>
      </w:r>
      <w:r>
        <w:rPr>
          <w:rFonts w:eastAsia="Lexend Light" w:cs="Lexend Light" w:ascii="Lexend Light" w:hAnsi="Lexend Light"/>
        </w:rPr>
        <w:t>, las entidades participantes cuyos proyectos tengan documentos administrativos por subsanar, contarán con un plazo de cinco (5) días hábiles para:</w:t>
      </w:r>
    </w:p>
    <w:p>
      <w:pPr>
        <w:pStyle w:val="Normal"/>
        <w:numPr>
          <w:ilvl w:val="1"/>
          <w:numId w:val="5"/>
        </w:numPr>
        <w:pBdr/>
        <w:tabs>
          <w:tab w:val="clear" w:pos="720"/>
          <w:tab w:val="left" w:pos="986" w:leader="none"/>
        </w:tabs>
        <w:spacing w:lineRule="auto" w:line="367" w:before="202" w:after="0"/>
        <w:ind w:left="986" w:right="402" w:hanging="360"/>
        <w:jc w:val="both"/>
        <w:rPr>
          <w:rFonts w:ascii="Lexend Light" w:hAnsi="Lexend Light" w:eastAsia="Lexend Light" w:cs="Lexend Light"/>
          <w:color w:val="000000"/>
        </w:rPr>
      </w:pPr>
      <w:r>
        <w:rPr>
          <w:rFonts w:eastAsia="Lexend Light" w:cs="Lexend Light" w:ascii="Lexend Light" w:hAnsi="Lexend Light"/>
          <w:color w:val="000000"/>
        </w:rPr>
        <w:t>Cargar los documentos administrativos requeridos en subsanación, ÚNICAMENTE en la plataforma SICON, la cual estará habilitada hasta las 5:00 p.m. hora legal colombiana, del último día de subsanación. No se recibirán subsanaciones en físico en las oﬁcinas de la SCRD ni de sus entidades adscritas, ni aquellas enviadas por correo electrónico.</w:t>
      </w:r>
    </w:p>
    <w:p>
      <w:pPr>
        <w:pStyle w:val="Normal"/>
        <w:numPr>
          <w:ilvl w:val="1"/>
          <w:numId w:val="5"/>
        </w:numPr>
        <w:pBdr/>
        <w:tabs>
          <w:tab w:val="clear" w:pos="720"/>
          <w:tab w:val="left" w:pos="986" w:leader="none"/>
        </w:tabs>
        <w:spacing w:lineRule="auto" w:line="367" w:before="204" w:after="0"/>
        <w:ind w:left="986" w:right="408" w:hanging="360"/>
        <w:jc w:val="both"/>
        <w:rPr/>
      </w:pPr>
      <w:r>
        <w:rPr>
          <w:rFonts w:eastAsia="Lexend Light" w:cs="Lexend Light" w:ascii="Lexend Light" w:hAnsi="Lexend Light"/>
          <w:color w:val="000000"/>
        </w:rPr>
        <w:t xml:space="preserve">Realizar las aclaraciones que correspondan frente a las subsanaciones solicitadas, al correo </w:t>
      </w:r>
      <w:hyperlink r:id="rId20">
        <w:r>
          <w:rPr>
            <w:rStyle w:val="Style"/>
            <w:rFonts w:eastAsia="Lexend Light" w:cs="Lexend Light" w:ascii="Lexend Light" w:hAnsi="Lexend Light"/>
            <w:color w:val="0563C1"/>
            <w:u w:val="single"/>
          </w:rPr>
          <w:t>convocatorias@scrd.gov.co</w:t>
        </w:r>
      </w:hyperlink>
      <w:r>
        <w:rPr>
          <w:rFonts w:eastAsia="Lexend Light" w:cs="Lexend Light" w:ascii="Lexend Light" w:hAnsi="Lexend Light"/>
          <w:color w:val="000000"/>
        </w:rPr>
        <w:t>.</w:t>
      </w:r>
    </w:p>
    <w:p>
      <w:pPr>
        <w:pStyle w:val="Normal"/>
        <w:tabs>
          <w:tab w:val="clear" w:pos="720"/>
          <w:tab w:val="left" w:pos="986" w:leader="none"/>
        </w:tabs>
        <w:spacing w:lineRule="auto" w:line="360" w:before="202" w:after="0"/>
        <w:ind w:right="402" w:hanging="0"/>
        <w:jc w:val="both"/>
        <w:rPr>
          <w:rFonts w:ascii="Lexend Light" w:hAnsi="Lexend Light" w:eastAsia="Lexend Light" w:cs="Lexend Light"/>
        </w:rPr>
      </w:pPr>
      <w:r>
        <w:rPr>
          <w:rFonts w:eastAsia="Lexend Light" w:cs="Lexend Light" w:ascii="Lexend Light" w:hAnsi="Lexend Light"/>
        </w:rPr>
        <w:t xml:space="preserve">De igual forma, es </w:t>
      </w:r>
      <w:r>
        <w:rPr>
          <w:rFonts w:eastAsia="Lexend Light" w:cs="Lexend Light" w:ascii="Lexend Light" w:hAnsi="Lexend Light"/>
          <w:b/>
          <w:color w:val="EC4ED0"/>
        </w:rPr>
        <w:t>MUY IMPORTANTE</w:t>
      </w:r>
      <w:r>
        <w:rPr>
          <w:rFonts w:eastAsia="Lexend Light" w:cs="Lexend Light" w:ascii="Lexend Light" w:hAnsi="Lexend Light"/>
        </w:rPr>
        <w:t xml:space="preserve"> que tenga en cuenta que es responsabilidad de la entidad participante, hacer el seguimiento y veriﬁcación del estado de su proyecto a través de la plataforma SICON.</w:t>
      </w:r>
    </w:p>
    <w:p>
      <w:pPr>
        <w:pStyle w:val="Normal"/>
        <w:widowControl/>
        <w:numPr>
          <w:ilvl w:val="2"/>
          <w:numId w:val="15"/>
        </w:numPr>
        <w:pBdr/>
        <w:spacing w:lineRule="auto" w:line="360" w:before="240" w:after="0"/>
        <w:ind w:left="930" w:hanging="504"/>
        <w:rPr>
          <w:rFonts w:ascii="Lexend Light" w:hAnsi="Lexend Light" w:eastAsia="Lexend Light" w:cs="Lexend Light"/>
          <w:color w:val="ED4FD0"/>
          <w:u w:val="single"/>
        </w:rPr>
      </w:pPr>
      <w:r>
        <w:rPr>
          <w:rFonts w:eastAsia="Lexend Light" w:cs="Lexend Light" w:ascii="Lexend Light" w:hAnsi="Lexend Light"/>
          <w:color w:val="ED4FD0"/>
          <w:u w:val="single"/>
        </w:rPr>
        <w:t xml:space="preserve"> </w:t>
      </w:r>
      <w:r>
        <w:rPr>
          <w:rFonts w:eastAsia="Lexend Light" w:cs="Lexend Light" w:ascii="Lexend Light" w:hAnsi="Lexend Light"/>
          <w:color w:val="ED4FD0"/>
          <w:u w:val="single"/>
        </w:rPr>
        <w:t>Veriﬁcación de proyectos subsanados</w:t>
      </w:r>
    </w:p>
    <w:p>
      <w:pPr>
        <w:pStyle w:val="Normal"/>
        <w:pBdr/>
        <w:spacing w:lineRule="auto" w:line="360"/>
        <w:ind w:left="221" w:right="399" w:hanging="0"/>
        <w:jc w:val="both"/>
        <w:rPr/>
      </w:pPr>
      <w:r>
        <w:rPr>
          <w:rFonts w:eastAsia="Lexend Light" w:cs="Lexend Light" w:ascii="Lexend Light" w:hAnsi="Lexend Light"/>
          <w:color w:val="000000"/>
        </w:rPr>
        <w:t xml:space="preserve">Cumplido el plazo de subsanación de documentos administrativos, la entidad a cargo de la veriﬁcación hará la revisión de la documentación subsanada. Posterior a la revisión, se publicará el </w:t>
      </w:r>
      <w:r>
        <w:rPr>
          <w:rFonts w:eastAsia="Lexend Light" w:cs="Lexend Light" w:ascii="Lexend Light" w:hAnsi="Lexend Light"/>
          <w:i/>
          <w:color w:val="000000"/>
        </w:rPr>
        <w:t xml:space="preserve">listado deﬁnitivo de proyectos habilitados y </w:t>
      </w:r>
      <w:r>
        <w:rPr>
          <w:rFonts w:eastAsia="Lexend Light" w:cs="Lexend Light" w:ascii="Lexend Light" w:hAnsi="Lexend Light"/>
          <w:i/>
        </w:rPr>
        <w:t>no habilitados</w:t>
      </w:r>
      <w:r>
        <w:rPr>
          <w:rFonts w:eastAsia="Lexend Light" w:cs="Lexend Light" w:ascii="Lexend Light" w:hAnsi="Lexend Light"/>
          <w:color w:val="000000"/>
        </w:rPr>
        <w:t>. Las entidades participantes tendrán un plazo de tres (3) días hábiles luego de publicado el listado, para presentar observaciones o solicitar aclaraciones sobre el resultado, al correo</w:t>
      </w:r>
      <w:r>
        <w:rPr>
          <w:color w:val="000000"/>
        </w:rPr>
        <w:t xml:space="preserve"> </w:t>
      </w:r>
      <w:hyperlink r:id="rId21">
        <w:r>
          <w:rPr>
            <w:rStyle w:val="Style"/>
            <w:rFonts w:eastAsia="Lexend Light" w:cs="Lexend Light" w:ascii="Lexend Light" w:hAnsi="Lexend Light"/>
            <w:color w:val="0563C1"/>
            <w:u w:val="single"/>
          </w:rPr>
          <w:t>convocatorias@scrd.gov.co</w:t>
        </w:r>
      </w:hyperlink>
      <w:r>
        <w:rPr>
          <w:rFonts w:eastAsia="Lexend Light" w:cs="Lexend Light" w:ascii="Lexend Light" w:hAnsi="Lexend Light"/>
          <w:color w:val="000000"/>
        </w:rPr>
        <w:t>, plazo después del cual el listado quedará en ﬁrme.</w:t>
      </w:r>
    </w:p>
    <w:p>
      <w:pPr>
        <w:pStyle w:val="Normal"/>
        <w:pBdr/>
        <w:rPr>
          <w:color w:val="000000"/>
          <w:sz w:val="20"/>
          <w:szCs w:val="20"/>
        </w:rPr>
      </w:pPr>
      <w:r>
        <w:rPr>
          <w:color w:val="000000"/>
          <w:sz w:val="20"/>
          <w:szCs w:val="20"/>
        </w:rPr>
      </w:r>
    </w:p>
    <w:p>
      <w:pPr>
        <w:pStyle w:val="Normal"/>
        <w:pBdr/>
        <w:spacing w:before="6" w:after="0"/>
        <w:rPr>
          <w:color w:val="000000"/>
          <w:sz w:val="17"/>
          <w:szCs w:val="17"/>
        </w:rPr>
      </w:pPr>
      <w:r>
        <w:rPr>
          <w:color w:val="000000"/>
          <w:sz w:val="17"/>
          <w:szCs w:val="17"/>
        </w:rPr>
      </w:r>
    </w:p>
    <w:p>
      <w:pPr>
        <w:pStyle w:val="Ttulo2"/>
        <w:numPr>
          <w:ilvl w:val="1"/>
          <w:numId w:val="9"/>
        </w:numPr>
        <w:tabs>
          <w:tab w:val="clear" w:pos="720"/>
          <w:tab w:val="left" w:pos="1016" w:leader="none"/>
        </w:tabs>
        <w:spacing w:lineRule="auto" w:line="247"/>
        <w:ind w:left="1016" w:right="402" w:hanging="735"/>
        <w:jc w:val="both"/>
        <w:rPr>
          <w:rFonts w:ascii="Lexend Light" w:hAnsi="Lexend Light" w:eastAsia="Lexend Light" w:cs="Lexend Light"/>
          <w:color w:val="F150D4"/>
        </w:rPr>
      </w:pPr>
      <w:r>
        <w:rPr>
          <w:rFonts w:eastAsia="Lexend Light" w:cs="Lexend Light" w:ascii="Lexend Light" w:hAnsi="Lexend Light"/>
          <w:color w:val="2E5395"/>
        </w:rPr>
        <w:t>¿Cuáles son los motivos por los que un proyecto participante en la modalidad de proyectos locales e interlocales puede no ser habilitado?</w:t>
      </w:r>
    </w:p>
    <w:p>
      <w:pPr>
        <w:pStyle w:val="Normal"/>
        <w:pBdr/>
        <w:spacing w:lineRule="auto" w:line="367" w:before="234" w:after="0"/>
        <w:ind w:left="221" w:right="400" w:hanging="0"/>
        <w:jc w:val="both"/>
        <w:rPr>
          <w:rFonts w:ascii="Lexend Light" w:hAnsi="Lexend Light" w:eastAsia="Lexend Light" w:cs="Lexend Light"/>
          <w:color w:val="000000"/>
        </w:rPr>
      </w:pPr>
      <w:r>
        <w:rPr>
          <w:rFonts w:eastAsia="Lexend Light" w:cs="Lexend Light" w:ascii="Lexend Light" w:hAnsi="Lexend Light"/>
          <w:color w:val="000000"/>
        </w:rPr>
        <w:t xml:space="preserve">La SCRD aplicará el principio constitucional de la buena fe respecto de la documentación e información registrada por las entidades participantes durante la inscripción, o manifestada en cualquier otro momento de la convocatoria, en relación con el cumplimiento de las condiciones, los términos y los requisitos aquí establecidos. No obstante, </w:t>
      </w:r>
      <w:r>
        <w:rPr>
          <w:rFonts w:eastAsia="Lexend Light" w:cs="Lexend Light" w:ascii="Lexend Light" w:hAnsi="Lexend Light"/>
        </w:rPr>
        <w:t xml:space="preserve">no habilitará </w:t>
      </w:r>
      <w:r>
        <w:rPr>
          <w:rFonts w:eastAsia="Lexend Light" w:cs="Lexend Light" w:ascii="Lexend Light" w:hAnsi="Lexend Light"/>
          <w:color w:val="000000"/>
        </w:rPr>
        <w:t>los proyectos que incumplan con alguna de las condiciones de participación y, de manera enunciativa, en los casos que se presentan a continuación:</w:t>
      </w:r>
    </w:p>
    <w:p>
      <w:pPr>
        <w:pStyle w:val="Normal"/>
        <w:numPr>
          <w:ilvl w:val="0"/>
          <w:numId w:val="5"/>
        </w:numPr>
        <w:pBdr/>
        <w:tabs>
          <w:tab w:val="clear" w:pos="720"/>
          <w:tab w:val="left" w:pos="641" w:leader="none"/>
        </w:tabs>
        <w:spacing w:lineRule="auto" w:line="367" w:before="246" w:after="0"/>
        <w:ind w:left="641" w:right="403" w:hanging="420"/>
        <w:jc w:val="both"/>
        <w:rPr>
          <w:rFonts w:ascii="Helvetica Neue" w:hAnsi="Helvetica Neue" w:eastAsia="Helvetica Neue" w:cs="Helvetica Neue"/>
        </w:rPr>
      </w:pPr>
      <w:r>
        <w:rPr>
          <w:rFonts w:eastAsia="Lexend Light" w:cs="Lexend Light" w:ascii="Lexend Light" w:hAnsi="Lexend Light"/>
          <w:b/>
          <w:color w:val="EC52C1"/>
        </w:rPr>
        <w:t>Presentar más de un proyecto a la convocatoria</w:t>
      </w:r>
      <w:r>
        <w:rPr>
          <w:rFonts w:eastAsia="Tahoma" w:cs="Tahoma" w:ascii="Tahoma" w:hAnsi="Tahoma"/>
          <w:b/>
          <w:color w:val="EC4ED0"/>
        </w:rPr>
        <w:t xml:space="preserve">. </w:t>
      </w:r>
      <w:r>
        <w:rPr>
          <w:rFonts w:eastAsia="Lexend Light" w:cs="Lexend Light" w:ascii="Lexend Light" w:hAnsi="Lexend Light"/>
          <w:color w:val="000000"/>
        </w:rPr>
        <w:t>Que la entidad que presenta el proyecto haya presentado otro proyecto a la convocatoria. Se exceptúan de</w:t>
      </w:r>
      <w:r>
        <w:rPr>
          <w:color w:val="000000"/>
        </w:rPr>
        <w:t xml:space="preserve"> </w:t>
      </w:r>
      <w:r>
        <w:rPr>
          <w:rFonts w:eastAsia="Lexend Light" w:cs="Lexend Light" w:ascii="Lexend Light" w:hAnsi="Lexend Light"/>
          <w:color w:val="000000"/>
        </w:rPr>
        <w:t>esta causal de rechazo a las entidades que presenten un proyecto como resultado de una alianza sectorial, en tal caso, la entidad podrá presentar dos (2) proyectos a la convocatoria en diferentes líneas de participación, el de la alianza y el propio.</w:t>
      </w:r>
    </w:p>
    <w:p>
      <w:pPr>
        <w:pStyle w:val="Normal"/>
        <w:numPr>
          <w:ilvl w:val="0"/>
          <w:numId w:val="5"/>
        </w:numPr>
        <w:pBdr/>
        <w:tabs>
          <w:tab w:val="clear" w:pos="720"/>
          <w:tab w:val="left" w:pos="641" w:leader="none"/>
        </w:tabs>
        <w:spacing w:lineRule="auto" w:line="367" w:before="244" w:after="0"/>
        <w:ind w:left="641" w:right="399" w:hanging="420"/>
        <w:jc w:val="both"/>
        <w:rPr>
          <w:rFonts w:ascii="Helvetica Neue" w:hAnsi="Helvetica Neue" w:eastAsia="Helvetica Neue" w:cs="Helvetica Neue"/>
        </w:rPr>
      </w:pPr>
      <w:r>
        <w:rPr>
          <w:rFonts w:eastAsia="Lexend Light" w:cs="Lexend Light" w:ascii="Lexend Light" w:hAnsi="Lexend Light"/>
          <w:b/>
          <w:color w:val="EC52C1"/>
        </w:rPr>
        <w:t>Entidad participante no permitida.</w:t>
      </w:r>
      <w:r>
        <w:rPr>
          <w:rFonts w:eastAsia="Tahoma" w:cs="Tahoma" w:ascii="Tahoma" w:hAnsi="Tahoma"/>
          <w:b/>
          <w:color w:val="EC4ED0"/>
        </w:rPr>
        <w:t xml:space="preserve"> </w:t>
      </w:r>
      <w:r>
        <w:rPr>
          <w:rFonts w:eastAsia="Lexend Light" w:cs="Lexend Light" w:ascii="Lexend Light" w:hAnsi="Lexend Light"/>
          <w:color w:val="000000"/>
        </w:rPr>
        <w:t xml:space="preserve">Que el proyecto inscrito haya sido presentado por una entidad que no corresponda a una persona jurídica, constituida en Colombia como una entidad privada sin ánimo de lucro, o que presente cualquier otra característica establecida en el apartado: </w:t>
      </w:r>
      <w:r>
        <w:rPr>
          <w:rFonts w:eastAsia="Lexend Light" w:cs="Lexend Light" w:ascii="Lexend Light" w:hAnsi="Lexend Light"/>
          <w:i/>
          <w:color w:val="000000"/>
        </w:rPr>
        <w:t xml:space="preserve">¿Quienes no pueden participar en la modalidad proyectos locales e interlocales?, </w:t>
      </w:r>
      <w:r>
        <w:rPr>
          <w:rFonts w:eastAsia="Lexend Light" w:cs="Lexend Light" w:ascii="Lexend Light" w:hAnsi="Lexend Light"/>
          <w:color w:val="000000"/>
        </w:rPr>
        <w:t>de las Condiciones Generales de Participación de la convocatoria.</w:t>
      </w:r>
    </w:p>
    <w:p>
      <w:pPr>
        <w:pStyle w:val="Normal"/>
        <w:numPr>
          <w:ilvl w:val="0"/>
          <w:numId w:val="5"/>
        </w:numPr>
        <w:pBdr/>
        <w:tabs>
          <w:tab w:val="clear" w:pos="720"/>
          <w:tab w:val="left" w:pos="641" w:leader="none"/>
        </w:tabs>
        <w:spacing w:lineRule="auto" w:line="367" w:before="245" w:after="0"/>
        <w:ind w:left="641" w:right="407" w:hanging="420"/>
        <w:jc w:val="both"/>
        <w:rPr>
          <w:rFonts w:ascii="Lexend Light" w:hAnsi="Lexend Light" w:eastAsia="Lexend Light" w:cs="Lexend Light"/>
        </w:rPr>
      </w:pPr>
      <w:r>
        <w:rPr>
          <w:rFonts w:eastAsia="Lexend Light" w:cs="Lexend Light" w:ascii="Lexend Light" w:hAnsi="Lexend Light"/>
          <w:b/>
          <w:color w:val="EC52C1"/>
        </w:rPr>
        <w:t>Proyecto a realizarse fuera de Bogotá D.C.</w:t>
      </w:r>
      <w:r>
        <w:rPr>
          <w:rFonts w:eastAsia="Lexend Light" w:cs="Lexend Light" w:ascii="Lexend Light" w:hAnsi="Lexend Light"/>
          <w:color w:val="000000"/>
        </w:rPr>
        <w:t xml:space="preserve"> Que se plantee como un proyecto a ser ejecutado fuera de Bogotá D.C.</w:t>
      </w:r>
    </w:p>
    <w:p>
      <w:pPr>
        <w:pStyle w:val="Normal"/>
        <w:pBdr/>
        <w:spacing w:before="6" w:after="0"/>
        <w:rPr>
          <w:color w:val="000000"/>
          <w:sz w:val="17"/>
          <w:szCs w:val="17"/>
        </w:rPr>
      </w:pPr>
      <w:r>
        <w:rPr>
          <w:color w:val="000000"/>
          <w:sz w:val="17"/>
          <w:szCs w:val="17"/>
        </w:rPr>
      </w:r>
    </w:p>
    <w:p>
      <w:pPr>
        <w:pStyle w:val="Normal"/>
        <w:numPr>
          <w:ilvl w:val="0"/>
          <w:numId w:val="5"/>
        </w:numPr>
        <w:pBdr/>
        <w:tabs>
          <w:tab w:val="clear" w:pos="720"/>
          <w:tab w:val="left" w:pos="641" w:leader="none"/>
        </w:tabs>
        <w:spacing w:lineRule="auto" w:line="367" w:before="99" w:after="0"/>
        <w:ind w:left="641" w:right="401" w:hanging="420"/>
        <w:jc w:val="both"/>
        <w:rPr>
          <w:rFonts w:ascii="Helvetica Neue" w:hAnsi="Helvetica Neue" w:eastAsia="Helvetica Neue" w:cs="Helvetica Neue"/>
        </w:rPr>
      </w:pPr>
      <w:r>
        <w:rPr>
          <w:rFonts w:eastAsia="Lexend Light" w:cs="Lexend Light" w:ascii="Lexend Light" w:hAnsi="Lexend Light"/>
          <w:b/>
          <w:color w:val="EC52C1"/>
        </w:rPr>
        <w:t>No corresponde la línea de participación del proyecto.</w:t>
      </w:r>
      <w:r>
        <w:rPr>
          <w:rFonts w:eastAsia="Tahoma" w:cs="Tahoma" w:ascii="Tahoma" w:hAnsi="Tahoma"/>
          <w:b/>
          <w:color w:val="EC4ED0"/>
        </w:rPr>
        <w:t xml:space="preserve"> </w:t>
      </w:r>
      <w:r>
        <w:rPr>
          <w:rFonts w:eastAsia="Lexend Light" w:cs="Lexend Light" w:ascii="Lexend Light" w:hAnsi="Lexend Light"/>
          <w:color w:val="000000"/>
        </w:rPr>
        <w:t>Que el proyecto haya sido registrado durante la inscripción, en una línea de participación que no corresponde a su naturaleza y características.</w:t>
      </w:r>
    </w:p>
    <w:p>
      <w:pPr>
        <w:pStyle w:val="Normal"/>
        <w:numPr>
          <w:ilvl w:val="0"/>
          <w:numId w:val="5"/>
        </w:numPr>
        <w:pBdr/>
        <w:tabs>
          <w:tab w:val="clear" w:pos="720"/>
          <w:tab w:val="left" w:pos="641" w:leader="none"/>
        </w:tabs>
        <w:spacing w:lineRule="auto" w:line="367" w:before="242" w:after="0"/>
        <w:ind w:left="641" w:right="413" w:hanging="420"/>
        <w:jc w:val="both"/>
        <w:rPr>
          <w:rFonts w:ascii="Helvetica Neue" w:hAnsi="Helvetica Neue" w:eastAsia="Helvetica Neue" w:cs="Helvetica Neue"/>
        </w:rPr>
      </w:pPr>
      <w:r>
        <w:rPr>
          <w:rFonts w:eastAsia="Lexend Light" w:cs="Lexend Light" w:ascii="Lexend Light" w:hAnsi="Lexend Light"/>
          <w:b/>
          <w:color w:val="EC52C1"/>
        </w:rPr>
        <w:t>Diligenciamiento incompleto.</w:t>
      </w:r>
      <w:r>
        <w:rPr>
          <w:rFonts w:eastAsia="Tahoma" w:cs="Tahoma" w:ascii="Tahoma" w:hAnsi="Tahoma"/>
          <w:b/>
          <w:color w:val="EC4ED0"/>
        </w:rPr>
        <w:t xml:space="preserve"> </w:t>
      </w:r>
      <w:r>
        <w:rPr>
          <w:rFonts w:eastAsia="Lexend Light" w:cs="Lexend Light" w:ascii="Lexend Light" w:hAnsi="Lexend Light"/>
          <w:color w:val="000000"/>
        </w:rPr>
        <w:t>Que el proyecto presentado no haya sido diligenciado en su totalidad en la plataforma SICON.</w:t>
      </w:r>
    </w:p>
    <w:p>
      <w:pPr>
        <w:pStyle w:val="Normal"/>
        <w:numPr>
          <w:ilvl w:val="0"/>
          <w:numId w:val="5"/>
        </w:numPr>
        <w:pBdr/>
        <w:tabs>
          <w:tab w:val="clear" w:pos="720"/>
          <w:tab w:val="left" w:pos="641" w:leader="none"/>
        </w:tabs>
        <w:spacing w:lineRule="auto" w:line="367" w:before="242" w:after="0"/>
        <w:ind w:left="641" w:right="403" w:hanging="420"/>
        <w:jc w:val="both"/>
        <w:rPr>
          <w:rFonts w:ascii="Helvetica Neue" w:hAnsi="Helvetica Neue" w:eastAsia="Helvetica Neue" w:cs="Helvetica Neue"/>
        </w:rPr>
      </w:pPr>
      <w:r>
        <w:rPr>
          <w:rFonts w:eastAsia="Lexend Light" w:cs="Lexend Light" w:ascii="Lexend Light" w:hAnsi="Lexend Light"/>
          <w:b/>
          <w:color w:val="EC52C1"/>
        </w:rPr>
        <w:t>El valor solicitado excede el porcentaje permitido.</w:t>
      </w:r>
      <w:r>
        <w:rPr>
          <w:rFonts w:eastAsia="Tahoma" w:cs="Tahoma" w:ascii="Tahoma" w:hAnsi="Tahoma"/>
          <w:b/>
          <w:color w:val="EC4ED0"/>
        </w:rPr>
        <w:t xml:space="preserve"> </w:t>
      </w:r>
      <w:r>
        <w:rPr>
          <w:rFonts w:eastAsia="Lexend Light" w:cs="Lexend Light" w:ascii="Lexend Light" w:hAnsi="Lexend Light"/>
          <w:color w:val="000000"/>
        </w:rPr>
        <w:t>Que, según lo registrado en el presupuesto del proyecto, el valor solicitado como apoyo al PDAC supere el 70% del valor total del mismo.</w:t>
      </w:r>
    </w:p>
    <w:p>
      <w:pPr>
        <w:pStyle w:val="Normal"/>
        <w:numPr>
          <w:ilvl w:val="0"/>
          <w:numId w:val="5"/>
        </w:numPr>
        <w:pBdr/>
        <w:tabs>
          <w:tab w:val="clear" w:pos="720"/>
          <w:tab w:val="left" w:pos="641" w:leader="none"/>
        </w:tabs>
        <w:spacing w:lineRule="auto" w:line="367" w:before="242" w:after="0"/>
        <w:ind w:left="641" w:right="402" w:hanging="420"/>
        <w:jc w:val="both"/>
        <w:rPr>
          <w:rFonts w:ascii="Helvetica Neue" w:hAnsi="Helvetica Neue" w:eastAsia="Helvetica Neue" w:cs="Helvetica Neue"/>
        </w:rPr>
      </w:pPr>
      <w:r>
        <w:rPr>
          <w:rFonts w:eastAsia="Lexend Light" w:cs="Lexend Light" w:ascii="Lexend Light" w:hAnsi="Lexend Light"/>
          <w:b/>
          <w:color w:val="EC52C1"/>
        </w:rPr>
        <w:t>Ejecución planteada por fuera de fechas.</w:t>
      </w:r>
      <w:r>
        <w:rPr>
          <w:rFonts w:eastAsia="Tahoma" w:cs="Tahoma" w:ascii="Tahoma" w:hAnsi="Tahoma"/>
          <w:b/>
          <w:color w:val="EC4ED0"/>
        </w:rPr>
        <w:t xml:space="preserve"> </w:t>
      </w:r>
      <w:r>
        <w:rPr>
          <w:rFonts w:eastAsia="Lexend Light" w:cs="Lexend Light" w:ascii="Lexend Light" w:hAnsi="Lexend Light"/>
          <w:color w:val="000000"/>
        </w:rPr>
        <w:t xml:space="preserve">Que, según lo registrado en el cronograma del proyecto, incluya actividades a desarrollar antes del 01 de </w:t>
      </w:r>
      <w:r>
        <w:rPr>
          <w:rFonts w:eastAsia="Lexend Light" w:cs="Lexend Light" w:ascii="Lexend Light" w:hAnsi="Lexend Light"/>
        </w:rPr>
        <w:t xml:space="preserve">mayo </w:t>
      </w:r>
      <w:r>
        <w:rPr>
          <w:rFonts w:eastAsia="Lexend Light" w:cs="Lexend Light" w:ascii="Lexend Light" w:hAnsi="Lexend Light"/>
          <w:color w:val="000000"/>
        </w:rPr>
        <w:t>o después del 15 de diciembre de 2025 y que se encuentren cargadas a los recursos de apoyo solicitados al PDAC.</w:t>
      </w:r>
    </w:p>
    <w:p>
      <w:pPr>
        <w:pStyle w:val="Normal"/>
        <w:numPr>
          <w:ilvl w:val="0"/>
          <w:numId w:val="5"/>
        </w:numPr>
        <w:pBdr/>
        <w:tabs>
          <w:tab w:val="clear" w:pos="720"/>
          <w:tab w:val="left" w:pos="641" w:leader="none"/>
        </w:tabs>
        <w:spacing w:lineRule="auto" w:line="367" w:before="243" w:after="0"/>
        <w:ind w:left="641" w:right="400" w:hanging="420"/>
        <w:jc w:val="both"/>
        <w:rPr>
          <w:rFonts w:ascii="Lexend Light" w:hAnsi="Lexend Light" w:eastAsia="Lexend Light" w:cs="Lexend Light"/>
        </w:rPr>
      </w:pPr>
      <w:r>
        <w:rPr>
          <w:rFonts w:eastAsia="Lexend Light" w:cs="Lexend Light" w:ascii="Lexend Light" w:hAnsi="Lexend Light"/>
          <w:b/>
          <w:color w:val="EC52C1"/>
        </w:rPr>
        <w:t>Faltaron documentos técnicos o estos no cumplen requisitos.</w:t>
      </w:r>
      <w:r>
        <w:rPr>
          <w:color w:val="EC4ED0"/>
        </w:rPr>
        <w:t xml:space="preserve"> </w:t>
      </w:r>
      <w:r>
        <w:rPr>
          <w:rFonts w:eastAsia="Lexend Light" w:cs="Lexend Light" w:ascii="Lexend Light" w:hAnsi="Lexend Light"/>
          <w:color w:val="000000"/>
        </w:rPr>
        <w:t>La entidad que presenta el proyecto no adjuntó uno o más de los documentos técnicos requeridos, o habiéndolos adjuntado, estos no cumplen los requisitos establecidos en las Condiciones Generales de Participación de la convocatoria, o no permiten su lectura, reproducción, revisión o acceso completo a su contenido.</w:t>
      </w:r>
    </w:p>
    <w:p>
      <w:pPr>
        <w:pStyle w:val="Normal"/>
        <w:numPr>
          <w:ilvl w:val="0"/>
          <w:numId w:val="5"/>
        </w:numPr>
        <w:pBdr/>
        <w:tabs>
          <w:tab w:val="clear" w:pos="720"/>
          <w:tab w:val="left" w:pos="641" w:leader="none"/>
        </w:tabs>
        <w:spacing w:lineRule="auto" w:line="367" w:before="244" w:after="0"/>
        <w:ind w:left="641" w:right="403" w:hanging="420"/>
        <w:jc w:val="both"/>
        <w:rPr>
          <w:rFonts w:ascii="Lexend Light" w:hAnsi="Lexend Light" w:eastAsia="Lexend Light" w:cs="Lexend Light"/>
        </w:rPr>
      </w:pPr>
      <w:r>
        <w:rPr>
          <w:rFonts w:eastAsia="Lexend Light" w:cs="Lexend Light" w:ascii="Lexend Light" w:hAnsi="Lexend Light"/>
          <w:b/>
          <w:color w:val="EC52C1"/>
        </w:rPr>
        <w:t>No se subsanaron documentos administrativos.</w:t>
      </w:r>
      <w:r>
        <w:rPr>
          <w:rFonts w:eastAsia="Tahoma" w:cs="Tahoma" w:ascii="Tahoma" w:hAnsi="Tahoma"/>
          <w:b/>
          <w:color w:val="EC4ED0"/>
        </w:rPr>
        <w:t xml:space="preserve"> </w:t>
      </w:r>
      <w:r>
        <w:rPr>
          <w:rFonts w:eastAsia="Lexend Light" w:cs="Lexend Light" w:ascii="Lexend Light" w:hAnsi="Lexend Light"/>
          <w:color w:val="000000"/>
        </w:rPr>
        <w:t>Que la entidad que presenta el proyecto no subsane los documentos administrativos requeridos, en los términos de oportunidad y calidad solicitados, ni a través del medio dispuesto para ello.</w:t>
      </w:r>
    </w:p>
    <w:p>
      <w:pPr>
        <w:pStyle w:val="Normal"/>
        <w:pBdr/>
        <w:spacing w:before="6" w:after="0"/>
        <w:rPr>
          <w:color w:val="000000"/>
          <w:sz w:val="17"/>
          <w:szCs w:val="17"/>
        </w:rPr>
      </w:pPr>
      <w:r>
        <w:rPr>
          <w:color w:val="000000"/>
          <w:sz w:val="17"/>
          <w:szCs w:val="17"/>
        </w:rPr>
      </w:r>
    </w:p>
    <w:p>
      <w:pPr>
        <w:pStyle w:val="Normal"/>
        <w:numPr>
          <w:ilvl w:val="0"/>
          <w:numId w:val="5"/>
        </w:numPr>
        <w:pBdr/>
        <w:tabs>
          <w:tab w:val="clear" w:pos="720"/>
          <w:tab w:val="left" w:pos="641" w:leader="none"/>
        </w:tabs>
        <w:spacing w:lineRule="auto" w:line="367" w:before="99" w:after="0"/>
        <w:ind w:left="641" w:right="409" w:hanging="420"/>
        <w:jc w:val="both"/>
        <w:rPr>
          <w:rFonts w:ascii="Helvetica Neue" w:hAnsi="Helvetica Neue" w:eastAsia="Helvetica Neue" w:cs="Helvetica Neue"/>
        </w:rPr>
      </w:pPr>
      <w:r>
        <w:rPr>
          <w:rFonts w:eastAsia="Lexend Light" w:cs="Lexend Light" w:ascii="Lexend Light" w:hAnsi="Lexend Light"/>
          <w:b/>
          <w:color w:val="EC52C1"/>
        </w:rPr>
        <w:t>No se respondieron aclaraciones solicitadas.</w:t>
      </w:r>
      <w:r>
        <w:rPr>
          <w:rFonts w:eastAsia="Tahoma" w:cs="Tahoma" w:ascii="Tahoma" w:hAnsi="Tahoma"/>
          <w:b/>
          <w:color w:val="EC4ED0"/>
        </w:rPr>
        <w:t xml:space="preserve"> </w:t>
      </w:r>
      <w:r>
        <w:rPr>
          <w:rFonts w:eastAsia="Lexend Light" w:cs="Lexend Light" w:ascii="Lexend Light" w:hAnsi="Lexend Light"/>
        </w:rPr>
        <w:t>Que la</w:t>
      </w:r>
      <w:r>
        <w:rPr>
          <w:rFonts w:eastAsia="Lexend Light" w:cs="Lexend Light" w:ascii="Lexend Light" w:hAnsi="Lexend Light"/>
          <w:color w:val="000000"/>
        </w:rPr>
        <w:t xml:space="preserve"> entidad que presenta el proyecto no aporte dentro de los plazos establecidos en la solicitud, la información requerida como aclaración.</w:t>
      </w:r>
    </w:p>
    <w:p>
      <w:pPr>
        <w:pStyle w:val="Normal"/>
        <w:numPr>
          <w:ilvl w:val="0"/>
          <w:numId w:val="5"/>
        </w:numPr>
        <w:pBdr/>
        <w:tabs>
          <w:tab w:val="clear" w:pos="720"/>
          <w:tab w:val="left" w:pos="641" w:leader="none"/>
        </w:tabs>
        <w:spacing w:lineRule="auto" w:line="367" w:before="242" w:after="0"/>
        <w:ind w:left="641" w:right="399" w:hanging="420"/>
        <w:jc w:val="both"/>
        <w:rPr>
          <w:rFonts w:ascii="Helvetica Neue" w:hAnsi="Helvetica Neue" w:eastAsia="Helvetica Neue" w:cs="Helvetica Neue"/>
        </w:rPr>
      </w:pPr>
      <w:r>
        <w:rPr>
          <w:rFonts w:eastAsia="Lexend Light" w:cs="Lexend Light" w:ascii="Lexend Light" w:hAnsi="Lexend Light"/>
          <w:b/>
          <w:color w:val="EC52C1"/>
        </w:rPr>
        <w:t>Falta de veracidad en la información presentada.</w:t>
      </w:r>
      <w:r>
        <w:rPr>
          <w:rFonts w:eastAsia="Tahoma" w:cs="Tahoma" w:ascii="Tahoma" w:hAnsi="Tahoma"/>
          <w:b/>
          <w:color w:val="EC4ED0"/>
        </w:rPr>
        <w:t xml:space="preserve"> </w:t>
      </w:r>
      <w:r>
        <w:rPr>
          <w:rFonts w:eastAsia="Lexend Light" w:cs="Lexend Light" w:ascii="Lexend Light" w:hAnsi="Lexend Light"/>
          <w:color w:val="000000"/>
        </w:rPr>
        <w:t>Que la entidad que presenta el proyecto suministre, durante el registro e inscripción del proyecto o en cualquier otro momento de la convocatoria, información que no sea veraz o no corresponda a la realidad, induciendo a error a la SCRD o a la entidad que veriﬁca y evalúa, con el ﬁn de cumplir con un requisito de participación o mejorar el proyecto presentado para efectos de su evaluación. Lo anterior, consideramos importante dejarlo claro, sin perjuicio que la SCRD adelante las acciones legales a que haya lugar y en todo caso, reservándose el derecho de solicitar las aclaraciones que correspondan.</w:t>
      </w:r>
    </w:p>
    <w:p>
      <w:pPr>
        <w:pStyle w:val="Normal"/>
        <w:numPr>
          <w:ilvl w:val="0"/>
          <w:numId w:val="5"/>
        </w:numPr>
        <w:pBdr/>
        <w:tabs>
          <w:tab w:val="clear" w:pos="720"/>
          <w:tab w:val="left" w:pos="641" w:leader="none"/>
        </w:tabs>
        <w:spacing w:lineRule="auto" w:line="367" w:before="247" w:after="0"/>
        <w:ind w:left="641" w:right="400" w:hanging="420"/>
        <w:jc w:val="both"/>
        <w:rPr>
          <w:rFonts w:ascii="Helvetica Neue" w:hAnsi="Helvetica Neue" w:eastAsia="Helvetica Neue" w:cs="Helvetica Neue"/>
        </w:rPr>
      </w:pPr>
      <w:r>
        <w:rPr>
          <w:rFonts w:eastAsia="Lexend Light" w:cs="Lexend Light" w:ascii="Lexend Light" w:hAnsi="Lexend Light"/>
          <w:b/>
          <w:color w:val="EC52C1"/>
        </w:rPr>
        <w:t>Incumplimiento previo</w:t>
      </w:r>
      <w:r>
        <w:rPr>
          <w:rFonts w:eastAsia="Lexend Light" w:cs="Lexend Light" w:ascii="Lexend Light" w:hAnsi="Lexend Light"/>
        </w:rPr>
        <w:t>. Que a la</w:t>
      </w:r>
      <w:r>
        <w:rPr>
          <w:rFonts w:eastAsia="Lexend Light" w:cs="Lexend Light" w:ascii="Lexend Light" w:hAnsi="Lexend Light"/>
          <w:color w:val="000000"/>
        </w:rPr>
        <w:t xml:space="preserve"> entidad que presenta el proyecto, se le haya declarado por acto administrativo debidamente ejecutoriado, el incumplimiento de sus deberes en alguno de los planes, programas o proyectos de fomento de la SCRD o sus entidades adscritas.</w:t>
      </w:r>
    </w:p>
    <w:p>
      <w:pPr>
        <w:pStyle w:val="Normal"/>
        <w:numPr>
          <w:ilvl w:val="0"/>
          <w:numId w:val="5"/>
        </w:numPr>
        <w:pBdr/>
        <w:tabs>
          <w:tab w:val="clear" w:pos="720"/>
          <w:tab w:val="left" w:pos="641" w:leader="none"/>
        </w:tabs>
        <w:spacing w:lineRule="auto" w:line="367" w:before="243" w:after="0"/>
        <w:ind w:left="641" w:right="408" w:hanging="420"/>
        <w:jc w:val="both"/>
        <w:rPr>
          <w:rFonts w:ascii="Helvetica Neue" w:hAnsi="Helvetica Neue" w:eastAsia="Helvetica Neue" w:cs="Helvetica Neue"/>
        </w:rPr>
      </w:pPr>
      <w:r>
        <w:rPr>
          <w:rFonts w:eastAsia="Lexend Light" w:cs="Lexend Light" w:ascii="Lexend Light" w:hAnsi="Lexend Light"/>
          <w:b/>
          <w:color w:val="EC52C1"/>
        </w:rPr>
        <w:t>Entidad participante sin registro en SECOP II.</w:t>
      </w:r>
      <w:r>
        <w:rPr>
          <w:rFonts w:eastAsia="Tahoma" w:cs="Tahoma" w:ascii="Tahoma" w:hAnsi="Tahoma"/>
          <w:b/>
          <w:color w:val="EC4ED0"/>
        </w:rPr>
        <w:t xml:space="preserve"> </w:t>
      </w:r>
      <w:r>
        <w:rPr>
          <w:rFonts w:eastAsia="Lexend Light" w:cs="Lexend Light" w:ascii="Lexend Light" w:hAnsi="Lexend Light"/>
          <w:color w:val="000000"/>
        </w:rPr>
        <w:t>Que la entidad que presenta el proyecto no se encuentre debidamente registrada en la plataforma SECOP II, al momento de registrarse e inscribir el proyecto en la convocatoria.</w:t>
      </w:r>
    </w:p>
    <w:p>
      <w:pPr>
        <w:pStyle w:val="Normal"/>
        <w:numPr>
          <w:ilvl w:val="0"/>
          <w:numId w:val="5"/>
        </w:numPr>
        <w:pBdr/>
        <w:tabs>
          <w:tab w:val="clear" w:pos="720"/>
          <w:tab w:val="left" w:pos="641" w:leader="none"/>
        </w:tabs>
        <w:spacing w:lineRule="auto" w:line="367" w:before="242" w:after="0"/>
        <w:ind w:left="641" w:right="400" w:hanging="420"/>
        <w:jc w:val="both"/>
        <w:rPr>
          <w:sz w:val="20"/>
          <w:szCs w:val="20"/>
        </w:rPr>
      </w:pPr>
      <w:r>
        <w:rPr>
          <w:rFonts w:eastAsia="Lexend Light" w:cs="Lexend Light" w:ascii="Lexend Light" w:hAnsi="Lexend Light"/>
          <w:b/>
          <w:color w:val="EC52C1"/>
        </w:rPr>
        <w:t>Otras causales según legislación vigente.</w:t>
      </w:r>
      <w:r>
        <w:rPr>
          <w:rFonts w:eastAsia="Tahoma" w:cs="Tahoma" w:ascii="Tahoma" w:hAnsi="Tahoma"/>
          <w:b/>
          <w:color w:val="EC4ED0"/>
        </w:rPr>
        <w:t xml:space="preserve"> </w:t>
      </w:r>
      <w:r>
        <w:rPr>
          <w:rFonts w:eastAsia="Lexend Light" w:cs="Lexend Light" w:ascii="Lexend Light" w:hAnsi="Lexend Light"/>
          <w:color w:val="000000"/>
        </w:rPr>
        <w:t>Que la entidad que presenta el proyecto se encuentre incursa en alguna de las restricciones de participación, causales de inhabilidad, incompatibilidad o conﬂicto de intereses para participar, establecidas sobre la materia en la legislación vigente.</w:t>
      </w:r>
    </w:p>
    <w:p>
      <w:pPr>
        <w:pStyle w:val="Normal"/>
        <w:pBdr/>
        <w:spacing w:before="6" w:after="0"/>
        <w:rPr>
          <w:color w:val="000000"/>
          <w:sz w:val="17"/>
          <w:szCs w:val="17"/>
        </w:rPr>
      </w:pPr>
      <w:r>
        <w:rPr>
          <w:color w:val="000000"/>
          <w:sz w:val="17"/>
          <w:szCs w:val="17"/>
        </w:rPr>
      </w:r>
    </w:p>
    <w:p>
      <w:pPr>
        <w:pStyle w:val="Normal"/>
        <w:pBdr/>
        <w:spacing w:lineRule="auto" w:line="367" w:before="99" w:after="0"/>
        <w:ind w:left="221" w:right="407" w:hanging="0"/>
        <w:jc w:val="both"/>
        <w:rPr>
          <w:rFonts w:ascii="Lexend Light" w:hAnsi="Lexend Light" w:eastAsia="Lexend Light" w:cs="Lexend Light"/>
          <w:color w:val="000000"/>
        </w:rPr>
      </w:pPr>
      <w:r>
        <w:rPr>
          <w:rFonts w:eastAsia="Lexend Light" w:cs="Lexend Light" w:ascii="Lexend Light" w:hAnsi="Lexend Light"/>
          <w:b/>
          <w:color w:val="EC4ED0"/>
        </w:rPr>
        <w:t>Nota.</w:t>
      </w:r>
      <w:r>
        <w:rPr>
          <w:rFonts w:eastAsia="Tahoma" w:cs="Tahoma" w:ascii="Tahoma" w:hAnsi="Tahoma"/>
          <w:b/>
          <w:color w:val="EC4ED0"/>
        </w:rPr>
        <w:t xml:space="preserve"> </w:t>
      </w:r>
      <w:r>
        <w:rPr>
          <w:rFonts w:eastAsia="Lexend Light" w:cs="Lexend Light" w:ascii="Lexend Light" w:hAnsi="Lexend Light"/>
          <w:color w:val="000000"/>
        </w:rPr>
        <w:t xml:space="preserve">Es </w:t>
      </w:r>
      <w:r>
        <w:rPr>
          <w:rFonts w:eastAsia="Lexend Light" w:cs="Lexend Light" w:ascii="Lexend Light" w:hAnsi="Lexend Light"/>
          <w:b/>
          <w:color w:val="ED4FD0"/>
        </w:rPr>
        <w:t>MUY IMPORTANTE</w:t>
      </w:r>
      <w:r>
        <w:rPr>
          <w:rFonts w:eastAsia="Lexend Light" w:cs="Lexend Light" w:ascii="Lexend Light" w:hAnsi="Lexend Light"/>
          <w:color w:val="ED4FD0"/>
        </w:rPr>
        <w:t xml:space="preserve"> </w:t>
      </w:r>
      <w:r>
        <w:rPr>
          <w:rFonts w:eastAsia="Lexend Light" w:cs="Lexend Light" w:ascii="Lexend Light" w:hAnsi="Lexend Light"/>
          <w:color w:val="000000"/>
        </w:rPr>
        <w:t>para nosotros dejar claro que, bajo ninguna circunstancia se aceptará la participación de un proyecto que no haya sido debidamente registrado e inscrito a través de la plataforma SICON.</w:t>
      </w:r>
    </w:p>
    <w:p>
      <w:pPr>
        <w:pStyle w:val="Ttulo2"/>
        <w:numPr>
          <w:ilvl w:val="1"/>
          <w:numId w:val="9"/>
        </w:numPr>
        <w:tabs>
          <w:tab w:val="clear" w:pos="720"/>
          <w:tab w:val="left" w:pos="1016" w:leader="none"/>
        </w:tabs>
        <w:spacing w:lineRule="auto" w:line="247" w:before="163" w:after="0"/>
        <w:ind w:left="1016" w:right="404" w:hanging="735"/>
        <w:jc w:val="both"/>
        <w:rPr>
          <w:rFonts w:ascii="Lexend Light" w:hAnsi="Lexend Light" w:eastAsia="Lexend Light" w:cs="Lexend Light"/>
          <w:color w:val="F150D4"/>
        </w:rPr>
      </w:pPr>
      <w:r>
        <w:rPr>
          <w:rFonts w:eastAsia="Lexend Light" w:cs="Lexend Light" w:ascii="Lexend Light" w:hAnsi="Lexend Light"/>
          <w:color w:val="2E5395"/>
        </w:rPr>
        <w:t>¿En qué consiste el proceso de veriﬁcación de la idoneidad administrativa de las entidades participantes?</w:t>
      </w:r>
    </w:p>
    <w:p>
      <w:pPr>
        <w:pStyle w:val="Normal"/>
        <w:pBdr/>
        <w:spacing w:lineRule="auto" w:line="367" w:before="235" w:after="0"/>
        <w:ind w:left="221" w:right="401" w:hanging="0"/>
        <w:jc w:val="both"/>
        <w:rPr>
          <w:rFonts w:ascii="Lexend Light" w:hAnsi="Lexend Light" w:eastAsia="Lexend Light" w:cs="Lexend Light"/>
          <w:color w:val="000000"/>
        </w:rPr>
      </w:pPr>
      <w:r>
        <w:rPr>
          <w:rFonts w:eastAsia="Lexend Light" w:cs="Lexend Light" w:ascii="Lexend Light" w:hAnsi="Lexend Light"/>
          <w:color w:val="000000"/>
        </w:rPr>
        <w:t>La entidad encargada de la veriﬁcación y la evaluación revisará y validará que las entidades habilitadas, luego de la veriﬁcación de documentación administrativa, cumplan a satisfacción con los siguientes criterios de idoneidad administrativa:</w:t>
      </w:r>
    </w:p>
    <w:p>
      <w:pPr>
        <w:pStyle w:val="Normal"/>
        <w:numPr>
          <w:ilvl w:val="0"/>
          <w:numId w:val="5"/>
        </w:numPr>
        <w:pBdr/>
        <w:tabs>
          <w:tab w:val="clear" w:pos="720"/>
          <w:tab w:val="left" w:pos="581" w:leader="none"/>
        </w:tabs>
        <w:spacing w:lineRule="auto" w:line="367" w:before="203" w:after="0"/>
        <w:ind w:left="581" w:right="401" w:hanging="360"/>
        <w:jc w:val="both"/>
        <w:rPr>
          <w:rFonts w:ascii="Helvetica Neue" w:hAnsi="Helvetica Neue" w:eastAsia="Helvetica Neue" w:cs="Helvetica Neue"/>
        </w:rPr>
      </w:pPr>
      <w:r>
        <w:rPr>
          <w:rFonts w:eastAsia="Lexend Light" w:cs="Lexend Light" w:ascii="Lexend Light" w:hAnsi="Lexend Light"/>
          <w:b/>
          <w:color w:val="EC4ED0"/>
        </w:rPr>
        <w:t>Correspondencia del objeto de la entidad participante con los objetivos estratégicos y programas generales previstos en el Plan de Desarrollo Distrital vigente</w:t>
      </w:r>
      <w:r>
        <w:rPr>
          <w:rFonts w:eastAsia="Lexend Light" w:cs="Lexend Light" w:ascii="Lexend Light" w:hAnsi="Lexend Light"/>
          <w:color w:val="EC4ED0"/>
        </w:rPr>
        <w:t>.</w:t>
      </w:r>
      <w:r>
        <w:rPr>
          <w:color w:val="EC4ED0"/>
        </w:rPr>
        <w:t xml:space="preserve"> </w:t>
      </w:r>
      <w:r>
        <w:rPr>
          <w:rFonts w:eastAsia="Lexend Light" w:cs="Lexend Light" w:ascii="Lexend Light" w:hAnsi="Lexend Light"/>
          <w:color w:val="000000"/>
        </w:rPr>
        <w:t xml:space="preserve">Se veriﬁcará que exista coincidencia entre el objeto social de la entidad participante con los </w:t>
      </w:r>
      <w:r>
        <w:rPr>
          <w:rFonts w:eastAsia="Lexend Light" w:cs="Lexend Light" w:ascii="Lexend Light" w:hAnsi="Lexend Light"/>
        </w:rPr>
        <w:t xml:space="preserve">objetivos </w:t>
      </w:r>
      <w:r>
        <w:rPr>
          <w:rFonts w:eastAsia="Lexend Light" w:cs="Lexend Light" w:ascii="Lexend Light" w:hAnsi="Lexend Light"/>
          <w:color w:val="000000"/>
        </w:rPr>
        <w:t>y programas del Plan de Desarrollo Distrital vigente. Se veriﬁcará además, que el objeto social de la entidad contemple la realización de programas, proyectos, procesos y actividades de carácter artístico, cultural o patrimonial o creativo.</w:t>
      </w:r>
    </w:p>
    <w:p>
      <w:pPr>
        <w:pStyle w:val="Normal"/>
        <w:numPr>
          <w:ilvl w:val="0"/>
          <w:numId w:val="5"/>
        </w:numPr>
        <w:pBdr/>
        <w:tabs>
          <w:tab w:val="clear" w:pos="720"/>
          <w:tab w:val="left" w:pos="581" w:leader="none"/>
        </w:tabs>
        <w:spacing w:lineRule="auto" w:line="367" w:before="206" w:after="0"/>
        <w:ind w:left="581" w:right="401" w:hanging="360"/>
        <w:jc w:val="both"/>
        <w:rPr>
          <w:rFonts w:ascii="Helvetica Neue" w:hAnsi="Helvetica Neue" w:eastAsia="Helvetica Neue" w:cs="Helvetica Neue"/>
        </w:rPr>
      </w:pPr>
      <w:r>
        <w:rPr>
          <w:rFonts w:eastAsia="Lexend Light" w:cs="Lexend Light" w:ascii="Lexend Light" w:hAnsi="Lexend Light"/>
          <w:b/>
          <w:color w:val="EC4ED0"/>
        </w:rPr>
        <w:t>Experiencia.</w:t>
      </w:r>
      <w:r>
        <w:rPr>
          <w:color w:val="EC4ED0"/>
        </w:rPr>
        <w:t xml:space="preserve"> </w:t>
      </w:r>
      <w:r>
        <w:rPr>
          <w:rFonts w:eastAsia="Lexend Light" w:cs="Lexend Light" w:ascii="Lexend Light" w:hAnsi="Lexend Light"/>
          <w:color w:val="000000"/>
        </w:rPr>
        <w:t>Se determinará si la entidad participante cuenta con experiencia certiﬁcada en la ejecución de proyectos similares o aﬁnes con el que se propone ejecutar, y que esa experiencia sea proporcional en relación al alcance, el valor y la complejidad del proyecto presentado.</w:t>
      </w:r>
    </w:p>
    <w:p>
      <w:pPr>
        <w:pStyle w:val="Normal"/>
        <w:numPr>
          <w:ilvl w:val="0"/>
          <w:numId w:val="5"/>
        </w:numPr>
        <w:pBdr/>
        <w:tabs>
          <w:tab w:val="clear" w:pos="720"/>
          <w:tab w:val="left" w:pos="581" w:leader="none"/>
        </w:tabs>
        <w:spacing w:lineRule="auto" w:line="367" w:before="6" w:after="0"/>
        <w:ind w:left="581" w:right="401" w:hanging="360"/>
        <w:jc w:val="both"/>
        <w:rPr>
          <w:sz w:val="17"/>
          <w:szCs w:val="17"/>
        </w:rPr>
      </w:pPr>
      <w:r>
        <w:rPr>
          <w:rFonts w:eastAsia="Lexend Light" w:cs="Lexend Light" w:ascii="Lexend Light" w:hAnsi="Lexend Light"/>
          <w:b/>
          <w:color w:val="EC4ED0"/>
        </w:rPr>
        <w:t>Cumplimiento contractual PDAC.</w:t>
      </w:r>
      <w:r>
        <w:rPr>
          <w:color w:val="EC4ED0"/>
        </w:rPr>
        <w:t xml:space="preserve"> </w:t>
      </w:r>
      <w:r>
        <w:rPr>
          <w:rFonts w:eastAsia="Lexend Light" w:cs="Lexend Light" w:ascii="Lexend Light" w:hAnsi="Lexend Light"/>
          <w:color w:val="000000"/>
        </w:rPr>
        <w:t>Para entidades que recibieron apoyo del PDAC en la vigencia anterior, se tendrá en cuenta que el puntaje en la Evaluación Final a la Ejecución del contrato, realizada por la entidad a cargo de la supervisión (o interventoría), sea igual o superior a 85 puntos.</w:t>
      </w:r>
    </w:p>
    <w:p>
      <w:pPr>
        <w:pStyle w:val="Normal"/>
        <w:pBdr/>
        <w:spacing w:lineRule="auto" w:line="367" w:before="99" w:after="0"/>
        <w:ind w:left="581" w:right="404" w:hanging="0"/>
        <w:jc w:val="both"/>
        <w:rPr>
          <w:rFonts w:ascii="Lexend Light" w:hAnsi="Lexend Light" w:eastAsia="Lexend Light" w:cs="Lexend Light"/>
          <w:color w:val="000000"/>
        </w:rPr>
      </w:pPr>
      <w:r>
        <w:rPr>
          <w:rFonts w:eastAsia="Lexend Light" w:cs="Lexend Light" w:ascii="Lexend Light" w:hAnsi="Lexend Light"/>
          <w:color w:val="000000"/>
        </w:rPr>
        <w:t>Es importante tener en cuenta que esta evaluación es competencia exclusiva de la entidad que otorgó el apoyo en la vigencia anterior, siempre y cuando el contrato con la entidad apoyada haya sido ejecutado y ﬁnalizado.</w:t>
      </w:r>
    </w:p>
    <w:p>
      <w:pPr>
        <w:pStyle w:val="Normal"/>
        <w:numPr>
          <w:ilvl w:val="0"/>
          <w:numId w:val="5"/>
        </w:numPr>
        <w:pBdr/>
        <w:tabs>
          <w:tab w:val="clear" w:pos="720"/>
          <w:tab w:val="left" w:pos="581" w:leader="none"/>
        </w:tabs>
        <w:spacing w:lineRule="auto" w:line="367" w:before="202" w:after="0"/>
        <w:ind w:left="581" w:right="401" w:hanging="360"/>
        <w:jc w:val="both"/>
        <w:rPr>
          <w:rFonts w:ascii="Helvetica Neue" w:hAnsi="Helvetica Neue" w:eastAsia="Helvetica Neue" w:cs="Helvetica Neue"/>
        </w:rPr>
      </w:pPr>
      <w:r>
        <w:rPr>
          <w:rFonts w:eastAsia="Lexend Light" w:cs="Lexend Light" w:ascii="Lexend Light" w:hAnsi="Lexend Light"/>
          <w:b/>
          <w:color w:val="EC4ED0"/>
        </w:rPr>
        <w:t>Cumplimiento contractual.</w:t>
      </w:r>
      <w:r>
        <w:rPr>
          <w:color w:val="EC4ED0"/>
        </w:rPr>
        <w:t xml:space="preserve"> </w:t>
      </w:r>
      <w:r>
        <w:rPr>
          <w:rFonts w:eastAsia="Lexend Light" w:cs="Lexend Light" w:ascii="Lexend Light" w:hAnsi="Lexend Light"/>
          <w:color w:val="000000"/>
        </w:rPr>
        <w:t>Para entidades que no recibieron apoyo del PDAC en la vigencia</w:t>
      </w:r>
      <w:r>
        <w:rPr>
          <w:color w:val="000000"/>
        </w:rPr>
        <w:t xml:space="preserve"> </w:t>
      </w:r>
      <w:r>
        <w:rPr>
          <w:rFonts w:eastAsia="Lexend Light" w:cs="Lexend Light" w:ascii="Lexend Light" w:hAnsi="Lexend Light"/>
          <w:color w:val="000000"/>
        </w:rPr>
        <w:t>anterior, se veriﬁcará el cumplimiento contractual con entidades públicas o privadas.</w:t>
      </w:r>
    </w:p>
    <w:p>
      <w:pPr>
        <w:pStyle w:val="Normal"/>
        <w:pBdr/>
        <w:spacing w:lineRule="auto" w:line="367" w:before="202" w:after="0"/>
        <w:ind w:left="221" w:right="401" w:hanging="0"/>
        <w:jc w:val="both"/>
        <w:rPr>
          <w:rFonts w:ascii="Lexend Light" w:hAnsi="Lexend Light" w:eastAsia="Lexend Light" w:cs="Lexend Light"/>
          <w:color w:val="000000"/>
        </w:rPr>
      </w:pPr>
      <w:r>
        <w:rPr>
          <w:rFonts w:eastAsia="Lexend Light" w:cs="Lexend Light" w:ascii="Lexend Light" w:hAnsi="Lexend Light"/>
          <w:color w:val="000000"/>
        </w:rPr>
        <w:t xml:space="preserve">Realizada la veriﬁcación anterior a partir de la documentación técnica aportada por la entidad participante, se publicará el </w:t>
      </w:r>
      <w:r>
        <w:rPr>
          <w:rFonts w:eastAsia="Lexend Light" w:cs="Lexend Light" w:ascii="Lexend Light" w:hAnsi="Lexend Light"/>
          <w:i/>
          <w:color w:val="000000"/>
        </w:rPr>
        <w:t>listado del cumplimiento de la idoneidad administrativa de las entidades participantes</w:t>
      </w:r>
      <w:r>
        <w:rPr>
          <w:rFonts w:eastAsia="Lexend Light" w:cs="Lexend Light" w:ascii="Lexend Light" w:hAnsi="Lexend Light"/>
          <w:color w:val="000000"/>
        </w:rPr>
        <w:t>, de acuerdo con las siguientes deﬁniciones:</w:t>
      </w:r>
    </w:p>
    <w:p>
      <w:pPr>
        <w:pStyle w:val="Normal"/>
        <w:pBdr/>
        <w:spacing w:lineRule="auto" w:line="367" w:before="203" w:after="0"/>
        <w:ind w:left="221" w:right="399" w:hanging="0"/>
        <w:jc w:val="both"/>
        <w:rPr>
          <w:color w:val="000000"/>
        </w:rPr>
      </w:pPr>
      <w:r>
        <w:rPr>
          <w:rFonts w:eastAsia="Lexend Light" w:cs="Lexend Light" w:ascii="Lexend Light" w:hAnsi="Lexend Light"/>
          <w:b/>
          <w:color w:val="EC4ED0"/>
        </w:rPr>
        <w:t>Habilitado-Idóneo</w:t>
      </w:r>
      <w:r>
        <w:rPr>
          <w:rFonts w:eastAsia="Lexend Light" w:cs="Lexend Light" w:ascii="Lexend Light" w:hAnsi="Lexend Light"/>
          <w:color w:val="EC4ED0"/>
        </w:rPr>
        <w:t>.</w:t>
      </w:r>
      <w:r>
        <w:rPr>
          <w:color w:val="EC4ED0"/>
        </w:rPr>
        <w:t xml:space="preserve"> </w:t>
      </w:r>
      <w:r>
        <w:rPr>
          <w:rFonts w:eastAsia="Lexend Light" w:cs="Lexend Light" w:ascii="Lexend Light" w:hAnsi="Lexend Light"/>
          <w:color w:val="000000"/>
        </w:rPr>
        <w:t>Proyecto que cumple con todos los criterios de idoneidad administrativa de la entidad participante, establecidos en las Condiciones Generales de Participación de la convocatoria.</w:t>
      </w:r>
    </w:p>
    <w:p>
      <w:pPr>
        <w:pStyle w:val="Normal"/>
        <w:pBdr/>
        <w:spacing w:lineRule="auto" w:line="367" w:before="203" w:after="0"/>
        <w:ind w:left="221" w:right="400" w:hanging="0"/>
        <w:jc w:val="both"/>
        <w:rPr>
          <w:color w:val="000000"/>
        </w:rPr>
      </w:pPr>
      <w:r>
        <w:rPr>
          <w:rFonts w:eastAsia="Lexend Light" w:cs="Lexend Light" w:ascii="Lexend Light" w:hAnsi="Lexend Light"/>
          <w:b/>
          <w:color w:val="EC4ED0"/>
        </w:rPr>
        <w:t>No habilitado-No idóneo</w:t>
      </w:r>
      <w:r>
        <w:rPr>
          <w:color w:val="EC4ED0"/>
        </w:rPr>
        <w:t xml:space="preserve">. </w:t>
      </w:r>
      <w:r>
        <w:rPr>
          <w:rFonts w:eastAsia="Lexend Light" w:cs="Lexend Light" w:ascii="Lexend Light" w:hAnsi="Lexend Light"/>
          <w:color w:val="000000"/>
        </w:rPr>
        <w:t>Proyecto que no cumple con uno o más de los criterios de idoneidad administrativa de la entidad participante, establecidos en las Condiciones Generales de Participación de la convocatoria.</w:t>
      </w:r>
    </w:p>
    <w:p>
      <w:pPr>
        <w:pStyle w:val="Normal"/>
        <w:pBdr/>
        <w:spacing w:lineRule="auto" w:line="367" w:before="202" w:after="0"/>
        <w:ind w:left="221" w:right="404" w:hanging="0"/>
        <w:jc w:val="both"/>
        <w:rPr/>
      </w:pPr>
      <w:r>
        <w:rPr>
          <w:rFonts w:eastAsia="Lexend Light" w:cs="Lexend Light" w:ascii="Lexend Light" w:hAnsi="Lexend Light"/>
          <w:color w:val="000000"/>
        </w:rPr>
        <w:t xml:space="preserve">Las entidades participantes tendrán un plazo de tres (3) días hábiles luego de publicado el listado, para presentar observaciones o solicitar aclaraciones sobre el resultado, al correo </w:t>
      </w:r>
      <w:hyperlink r:id="rId22">
        <w:r>
          <w:rPr>
            <w:rStyle w:val="Style"/>
            <w:rFonts w:eastAsia="Lexend Light" w:cs="Lexend Light" w:ascii="Lexend Light" w:hAnsi="Lexend Light"/>
            <w:color w:val="0462C1"/>
            <w:u w:val="single"/>
          </w:rPr>
          <w:t>convocatorias@scrd.gov.co</w:t>
        </w:r>
      </w:hyperlink>
      <w:r>
        <w:rPr>
          <w:rFonts w:eastAsia="Lexend Light" w:cs="Lexend Light" w:ascii="Lexend Light" w:hAnsi="Lexend Light"/>
          <w:color w:val="000000"/>
        </w:rPr>
        <w:t>,</w:t>
      </w:r>
      <w:r>
        <w:rPr>
          <w:color w:val="000000"/>
        </w:rPr>
        <w:t xml:space="preserve"> </w:t>
      </w:r>
      <w:r>
        <w:rPr>
          <w:rFonts w:eastAsia="Lexend Light" w:cs="Lexend Light" w:ascii="Lexend Light" w:hAnsi="Lexend Light"/>
          <w:color w:val="000000"/>
        </w:rPr>
        <w:t>plazo después del cual el listado quedará en ﬁrme.</w:t>
      </w:r>
    </w:p>
    <w:p>
      <w:pPr>
        <w:pStyle w:val="Normal"/>
        <w:pBdr/>
        <w:rPr>
          <w:color w:val="000000"/>
          <w:sz w:val="20"/>
          <w:szCs w:val="20"/>
        </w:rPr>
      </w:pPr>
      <w:r>
        <w:rPr>
          <w:color w:val="000000"/>
          <w:sz w:val="20"/>
          <w:szCs w:val="20"/>
        </w:rPr>
      </w:r>
    </w:p>
    <w:p>
      <w:pPr>
        <w:pStyle w:val="Normal"/>
        <w:pBdr/>
        <w:spacing w:before="6" w:after="0"/>
        <w:rPr>
          <w:color w:val="000000"/>
          <w:sz w:val="17"/>
          <w:szCs w:val="17"/>
        </w:rPr>
      </w:pPr>
      <w:r>
        <w:rPr>
          <w:color w:val="000000"/>
          <w:sz w:val="17"/>
          <w:szCs w:val="17"/>
        </w:rPr>
      </w:r>
    </w:p>
    <w:p>
      <w:pPr>
        <w:pStyle w:val="Ttulo2"/>
        <w:numPr>
          <w:ilvl w:val="1"/>
          <w:numId w:val="9"/>
        </w:numPr>
        <w:tabs>
          <w:tab w:val="clear" w:pos="720"/>
          <w:tab w:val="left" w:pos="1015" w:leader="none"/>
          <w:tab w:val="left" w:pos="1016" w:leader="none"/>
        </w:tabs>
        <w:spacing w:lineRule="auto" w:line="247"/>
        <w:ind w:left="1016" w:right="399" w:hanging="735"/>
        <w:rPr>
          <w:rFonts w:ascii="Lexend Light" w:hAnsi="Lexend Light" w:eastAsia="Lexend Light" w:cs="Lexend Light"/>
          <w:color w:val="F150D4"/>
        </w:rPr>
      </w:pPr>
      <w:r>
        <w:rPr>
          <w:rFonts w:eastAsia="Lexend Light" w:cs="Lexend Light" w:ascii="Lexend Light" w:hAnsi="Lexend Light"/>
          <w:color w:val="2E5395"/>
        </w:rPr>
        <w:t>¿En qué consiste el proceso de evaluación técnica de los proyectos habilitados-idóneos?</w:t>
      </w:r>
    </w:p>
    <w:p>
      <w:pPr>
        <w:pStyle w:val="Normal"/>
        <w:pBdr/>
        <w:spacing w:lineRule="auto" w:line="367" w:before="236" w:after="4"/>
        <w:ind w:left="221" w:right="400" w:hanging="0"/>
        <w:jc w:val="both"/>
        <w:rPr>
          <w:rFonts w:ascii="Lexend Light" w:hAnsi="Lexend Light" w:eastAsia="Lexend Light" w:cs="Lexend Light"/>
          <w:color w:val="000000"/>
        </w:rPr>
      </w:pPr>
      <w:r>
        <w:rPr>
          <w:rFonts w:eastAsia="Lexend Light" w:cs="Lexend Light" w:ascii="Lexend Light" w:hAnsi="Lexend Light"/>
          <w:color w:val="000000"/>
        </w:rPr>
        <w:t xml:space="preserve">Superada la veriﬁcación del cumplimiento de la idoneidad administrativa de la entidad que presentó el proyecto, la entidad encargada de la veriﬁcación y evaluación realizará la evaluación técnica de los proyectos </w:t>
      </w:r>
      <w:r>
        <w:rPr>
          <w:rFonts w:eastAsia="Lexend Light" w:cs="Lexend Light" w:ascii="Lexend Light" w:hAnsi="Lexend Light"/>
          <w:b/>
          <w:color w:val="000000"/>
        </w:rPr>
        <w:t>Habilitados-Idóneos</w:t>
      </w:r>
      <w:r>
        <w:rPr>
          <w:rFonts w:eastAsia="Lexend Light" w:cs="Lexend Light" w:ascii="Lexend Light" w:hAnsi="Lexend Light"/>
          <w:color w:val="000000"/>
        </w:rPr>
        <w:t xml:space="preserve"> asignándole a cada uno un puntaje, de acuerdo con los siguientes criterios de evaluación:</w:t>
      </w:r>
    </w:p>
    <w:tbl>
      <w:tblPr>
        <w:tblStyle w:val="a1"/>
        <w:tblW w:w="9210" w:type="dxa"/>
        <w:jc w:val="center"/>
        <w:tblInd w:w="0" w:type="dxa"/>
        <w:tblCellMar>
          <w:top w:w="0" w:type="dxa"/>
          <w:left w:w="108" w:type="dxa"/>
          <w:bottom w:w="0" w:type="dxa"/>
          <w:right w:w="108" w:type="dxa"/>
        </w:tblCellMar>
        <w:tblLook w:firstRow="0" w:noVBand="1" w:lastRow="0" w:firstColumn="0" w:lastColumn="0" w:noHBand="0" w:val="0400"/>
      </w:tblPr>
      <w:tblGrid>
        <w:gridCol w:w="1679"/>
        <w:gridCol w:w="4980"/>
        <w:gridCol w:w="1291"/>
        <w:gridCol w:w="1259"/>
      </w:tblGrid>
      <w:tr>
        <w:trPr>
          <w:tblHeader w:val="true"/>
        </w:trPr>
        <w:tc>
          <w:tcPr>
            <w:tcW w:w="6659" w:type="dxa"/>
            <w:gridSpan w:val="2"/>
            <w:tcBorders>
              <w:top w:val="single" w:sz="12" w:space="0" w:color="FFFFFF"/>
              <w:left w:val="single" w:sz="12" w:space="0" w:color="FFFFFF"/>
              <w:bottom w:val="single" w:sz="12" w:space="0" w:color="FFFFFF"/>
              <w:right w:val="single" w:sz="12" w:space="0" w:color="FFFFFF"/>
            </w:tcBorders>
            <w:shd w:color="auto" w:fill="ED4FD0" w:val="clear"/>
            <w:vAlign w:val="center"/>
          </w:tcPr>
          <w:p>
            <w:pPr>
              <w:pStyle w:val="Normal"/>
              <w:jc w:val="center"/>
              <w:rPr>
                <w:rFonts w:ascii="Lexend Light" w:hAnsi="Lexend Light" w:eastAsia="Lexend Light" w:cs="Lexend Light"/>
                <w:b/>
                <w:b/>
                <w:color w:val="FFFFFF"/>
              </w:rPr>
            </w:pPr>
            <w:r>
              <w:rPr>
                <w:rFonts w:eastAsia="Lexend" w:cs="Lexend" w:ascii="Lexend" w:hAnsi="Lexend"/>
                <w:b/>
                <w:color w:val="FFFFFF"/>
                <w:sz w:val="20"/>
                <w:szCs w:val="20"/>
              </w:rPr>
              <w:t>CRITERIOS DE EVALUACIÓN</w:t>
            </w:r>
          </w:p>
        </w:tc>
        <w:tc>
          <w:tcPr>
            <w:tcW w:w="1291" w:type="dxa"/>
            <w:tcBorders>
              <w:top w:val="single" w:sz="12" w:space="0" w:color="FFFFFF"/>
              <w:left w:val="single" w:sz="12" w:space="0" w:color="FFFFFF"/>
              <w:bottom w:val="single" w:sz="12" w:space="0" w:color="FFFFFF"/>
              <w:right w:val="single" w:sz="12" w:space="0" w:color="FFFFFF"/>
            </w:tcBorders>
            <w:shd w:color="auto" w:fill="ED4FD0" w:val="clear"/>
            <w:vAlign w:val="center"/>
          </w:tcPr>
          <w:p>
            <w:pPr>
              <w:pStyle w:val="Normal"/>
              <w:jc w:val="center"/>
              <w:rPr>
                <w:rFonts w:ascii="Lexend Light" w:hAnsi="Lexend Light" w:eastAsia="Lexend Light" w:cs="Lexend Light"/>
                <w:b/>
                <w:b/>
                <w:color w:val="FFFFFF"/>
                <w:sz w:val="21"/>
                <w:szCs w:val="21"/>
              </w:rPr>
            </w:pPr>
            <w:r>
              <w:rPr>
                <w:rFonts w:eastAsia="Lexend" w:cs="Lexend" w:ascii="Lexend" w:hAnsi="Lexend"/>
                <w:b/>
                <w:color w:val="FFFFFF"/>
                <w:sz w:val="18"/>
                <w:szCs w:val="18"/>
              </w:rPr>
              <w:t>PUNTAJE</w:t>
            </w:r>
          </w:p>
        </w:tc>
        <w:tc>
          <w:tcPr>
            <w:tcW w:w="1259" w:type="dxa"/>
            <w:tcBorders>
              <w:top w:val="single" w:sz="12" w:space="0" w:color="FFFFFF"/>
              <w:left w:val="single" w:sz="12" w:space="0" w:color="FFFFFF"/>
              <w:bottom w:val="single" w:sz="12" w:space="0" w:color="FFFFFF"/>
              <w:right w:val="single" w:sz="12" w:space="0" w:color="FFFFFF"/>
            </w:tcBorders>
            <w:shd w:color="auto" w:fill="ED4FD0" w:val="clear"/>
            <w:vAlign w:val="center"/>
          </w:tcPr>
          <w:p>
            <w:pPr>
              <w:pStyle w:val="Normal"/>
              <w:jc w:val="center"/>
              <w:rPr>
                <w:rFonts w:ascii="Lexend Light" w:hAnsi="Lexend Light" w:eastAsia="Lexend Light" w:cs="Lexend Light"/>
                <w:b/>
                <w:b/>
                <w:color w:val="FFFFFF"/>
                <w:sz w:val="21"/>
                <w:szCs w:val="21"/>
              </w:rPr>
            </w:pPr>
            <w:r>
              <w:rPr>
                <w:rFonts w:eastAsia="Lexend" w:cs="Lexend" w:ascii="Lexend" w:hAnsi="Lexend"/>
                <w:b/>
                <w:color w:val="FFFFFF"/>
                <w:sz w:val="18"/>
                <w:szCs w:val="18"/>
              </w:rPr>
              <w:t>TOTAL PUNTAJE</w:t>
            </w:r>
          </w:p>
        </w:tc>
      </w:tr>
      <w:tr>
        <w:trPr>
          <w:trHeight w:val="558" w:hRule="atLeast"/>
        </w:trPr>
        <w:tc>
          <w:tcPr>
            <w:tcW w:w="1679" w:type="dxa"/>
            <w:vMerge w:val="restart"/>
            <w:tcBorders>
              <w:top w:val="single" w:sz="12" w:space="0" w:color="FFFFFF"/>
              <w:left w:val="single" w:sz="12" w:space="0" w:color="FFFFFF"/>
              <w:bottom w:val="single" w:sz="12" w:space="0" w:color="FFFFFF"/>
              <w:right w:val="single" w:sz="12" w:space="0" w:color="FFFFFF"/>
            </w:tcBorders>
            <w:shd w:color="auto" w:fill="A144E8" w:val="clear"/>
            <w:vAlign w:val="center"/>
          </w:tcPr>
          <w:p>
            <w:pPr>
              <w:pStyle w:val="Normal"/>
              <w:rPr>
                <w:rFonts w:ascii="Lexend" w:hAnsi="Lexend" w:eastAsia="Lexend" w:cs="Lexend"/>
                <w:color w:val="FFFFFF"/>
              </w:rPr>
            </w:pPr>
            <w:r>
              <w:rPr>
                <w:rFonts w:eastAsia="Lexend" w:cs="Lexend" w:ascii="Lexend" w:hAnsi="Lexend"/>
                <w:color w:val="FFFFFF"/>
              </w:rPr>
              <w:t>Pertinencia y bases contextuales</w:t>
            </w:r>
          </w:p>
        </w:tc>
        <w:tc>
          <w:tcPr>
            <w:tcW w:w="4980" w:type="dxa"/>
            <w:tcBorders>
              <w:top w:val="single" w:sz="12" w:space="0" w:color="FFFFFF"/>
              <w:left w:val="single" w:sz="12" w:space="0" w:color="FFFFFF"/>
              <w:bottom w:val="single" w:sz="12" w:space="0" w:color="FFFFFF"/>
              <w:right w:val="single" w:sz="12" w:space="0" w:color="FFFFFF"/>
            </w:tcBorders>
            <w:shd w:color="auto" w:fill="EEF3FA" w:val="clear"/>
          </w:tcPr>
          <w:p>
            <w:pPr>
              <w:pStyle w:val="Normal"/>
              <w:jc w:val="both"/>
              <w:rPr>
                <w:rFonts w:ascii="Lexend" w:hAnsi="Lexend" w:eastAsia="Lexend" w:cs="Lexend"/>
              </w:rPr>
            </w:pPr>
            <w:r>
              <w:rPr>
                <w:rFonts w:eastAsia="Lexend Light" w:cs="Lexend Light" w:ascii="Lexend Light" w:hAnsi="Lexend Light"/>
              </w:rPr>
              <w:t xml:space="preserve">Articulación con el Plan Distrital de Desarrollo vigente y correspondencia con los objetivos del </w:t>
            </w:r>
            <w:r>
              <w:rPr>
                <w:rFonts w:eastAsia="Lexend" w:cs="Lexend" w:ascii="Lexend" w:hAnsi="Lexend"/>
              </w:rPr>
              <w:t>PDAC.</w:t>
            </w:r>
          </w:p>
        </w:tc>
        <w:tc>
          <w:tcPr>
            <w:tcW w:w="1291" w:type="dxa"/>
            <w:tcBorders>
              <w:top w:val="single" w:sz="12" w:space="0" w:color="FFFFFF"/>
              <w:left w:val="single" w:sz="12" w:space="0" w:color="FFFFFF"/>
              <w:bottom w:val="single" w:sz="12" w:space="0" w:color="FFFFFF"/>
              <w:right w:val="single" w:sz="12" w:space="0" w:color="FFFFFF"/>
            </w:tcBorders>
            <w:shd w:color="auto" w:fill="FAFCFD" w:val="clear"/>
            <w:vAlign w:val="center"/>
          </w:tcPr>
          <w:p>
            <w:pPr>
              <w:pStyle w:val="Normal"/>
              <w:rPr>
                <w:rFonts w:ascii="Lexend Light" w:hAnsi="Lexend Light" w:eastAsia="Lexend Light" w:cs="Lexend Light"/>
              </w:rPr>
            </w:pPr>
            <w:r>
              <w:rPr>
                <w:rFonts w:eastAsia="Lexend Light" w:cs="Lexend Light" w:ascii="Lexend Light" w:hAnsi="Lexend Light"/>
              </w:rPr>
              <w:t>5 puntos</w:t>
            </w:r>
          </w:p>
        </w:tc>
        <w:tc>
          <w:tcPr>
            <w:tcW w:w="1259" w:type="dxa"/>
            <w:vMerge w:val="restart"/>
            <w:tcBorders>
              <w:top w:val="single" w:sz="12" w:space="0" w:color="FFFFFF"/>
              <w:left w:val="single" w:sz="12" w:space="0" w:color="FFFFFF"/>
              <w:bottom w:val="single" w:sz="12" w:space="0" w:color="FFFFFF"/>
              <w:right w:val="single" w:sz="12" w:space="0" w:color="FFFFFF"/>
            </w:tcBorders>
            <w:shd w:color="auto" w:fill="EEF3FA" w:val="clear"/>
            <w:vAlign w:val="center"/>
          </w:tcPr>
          <w:p>
            <w:pPr>
              <w:pStyle w:val="Normal"/>
              <w:jc w:val="center"/>
              <w:rPr>
                <w:rFonts w:ascii="Lexend" w:hAnsi="Lexend" w:eastAsia="Lexend" w:cs="Lexend"/>
              </w:rPr>
            </w:pPr>
            <w:r>
              <w:rPr>
                <w:rFonts w:eastAsia="Lexend" w:cs="Lexend" w:ascii="Lexend" w:hAnsi="Lexend"/>
              </w:rPr>
              <w:t>20 puntos</w:t>
            </w:r>
          </w:p>
        </w:tc>
      </w:tr>
      <w:tr>
        <w:trPr/>
        <w:tc>
          <w:tcPr>
            <w:tcW w:w="1679" w:type="dxa"/>
            <w:vMerge w:val="continue"/>
            <w:tcBorders>
              <w:top w:val="single" w:sz="12" w:space="0" w:color="FFFFFF"/>
              <w:left w:val="single" w:sz="12" w:space="0" w:color="FFFFFF"/>
              <w:bottom w:val="single" w:sz="12" w:space="0" w:color="FFFFFF"/>
              <w:right w:val="single" w:sz="12" w:space="0" w:color="FFFFFF"/>
            </w:tcBorders>
            <w:shd w:color="auto" w:fill="A144E8" w:val="clear"/>
            <w:vAlign w:val="center"/>
          </w:tcPr>
          <w:p>
            <w:pPr>
              <w:pStyle w:val="Normal"/>
              <w:pBdr/>
              <w:spacing w:lineRule="auto" w:line="276"/>
              <w:rPr>
                <w:rFonts w:ascii="Lexend" w:hAnsi="Lexend" w:eastAsia="Lexend" w:cs="Lexend"/>
              </w:rPr>
            </w:pPr>
            <w:r>
              <w:rPr>
                <w:rFonts w:eastAsia="Lexend" w:cs="Lexend" w:ascii="Lexend" w:hAnsi="Lexend"/>
              </w:rPr>
            </w:r>
          </w:p>
        </w:tc>
        <w:tc>
          <w:tcPr>
            <w:tcW w:w="4980" w:type="dxa"/>
            <w:tcBorders>
              <w:top w:val="single" w:sz="12" w:space="0" w:color="FFFFFF"/>
              <w:left w:val="single" w:sz="12" w:space="0" w:color="FFFFFF"/>
              <w:bottom w:val="single" w:sz="12" w:space="0" w:color="FFFFFF"/>
              <w:right w:val="single" w:sz="12" w:space="0" w:color="FFFFFF"/>
            </w:tcBorders>
            <w:shd w:color="auto" w:fill="EEF3FA" w:val="clear"/>
          </w:tcPr>
          <w:p>
            <w:pPr>
              <w:pStyle w:val="Normal"/>
              <w:jc w:val="both"/>
              <w:rPr>
                <w:rFonts w:ascii="Lexend Light" w:hAnsi="Lexend Light" w:eastAsia="Lexend Light" w:cs="Lexend Light"/>
              </w:rPr>
            </w:pPr>
            <w:r>
              <w:rPr>
                <w:rFonts w:eastAsia="Lexend Light" w:cs="Lexend Light" w:ascii="Lexend Light" w:hAnsi="Lexend Light"/>
              </w:rPr>
              <w:t>Antecedentes del proyecto y conocimiento del contexto.</w:t>
            </w:r>
          </w:p>
        </w:tc>
        <w:tc>
          <w:tcPr>
            <w:tcW w:w="1291" w:type="dxa"/>
            <w:tcBorders>
              <w:top w:val="single" w:sz="12" w:space="0" w:color="FFFFFF"/>
              <w:left w:val="single" w:sz="12" w:space="0" w:color="FFFFFF"/>
              <w:bottom w:val="single" w:sz="12" w:space="0" w:color="FFFFFF"/>
              <w:right w:val="single" w:sz="12" w:space="0" w:color="FFFFFF"/>
            </w:tcBorders>
            <w:shd w:color="auto" w:fill="FAFCFD" w:val="clear"/>
            <w:vAlign w:val="center"/>
          </w:tcPr>
          <w:p>
            <w:pPr>
              <w:pStyle w:val="Normal"/>
              <w:rPr>
                <w:rFonts w:ascii="Lexend Light" w:hAnsi="Lexend Light" w:eastAsia="Lexend Light" w:cs="Lexend Light"/>
              </w:rPr>
            </w:pPr>
            <w:r>
              <w:rPr>
                <w:rFonts w:eastAsia="Lexend Light" w:cs="Lexend Light" w:ascii="Lexend Light" w:hAnsi="Lexend Light"/>
              </w:rPr>
              <w:t>5 puntos</w:t>
            </w:r>
          </w:p>
        </w:tc>
        <w:tc>
          <w:tcPr>
            <w:tcW w:w="1259" w:type="dxa"/>
            <w:vMerge w:val="continue"/>
            <w:tcBorders>
              <w:top w:val="single" w:sz="12" w:space="0" w:color="FFFFFF"/>
              <w:left w:val="single" w:sz="12" w:space="0" w:color="FFFFFF"/>
              <w:bottom w:val="single" w:sz="12" w:space="0" w:color="FFFFFF"/>
              <w:right w:val="single" w:sz="12" w:space="0" w:color="FFFFFF"/>
            </w:tcBorders>
            <w:shd w:color="auto" w:fill="EEF3FA" w:val="clear"/>
            <w:vAlign w:val="center"/>
          </w:tcPr>
          <w:p>
            <w:pPr>
              <w:pStyle w:val="Normal"/>
              <w:pBdr/>
              <w:spacing w:lineRule="auto" w:line="276"/>
              <w:rPr>
                <w:rFonts w:ascii="Lexend Light" w:hAnsi="Lexend Light" w:eastAsia="Lexend Light" w:cs="Lexend Light"/>
              </w:rPr>
            </w:pPr>
            <w:r>
              <w:rPr>
                <w:rFonts w:eastAsia="Lexend Light" w:cs="Lexend Light" w:ascii="Lexend Light" w:hAnsi="Lexend Light"/>
              </w:rPr>
            </w:r>
          </w:p>
        </w:tc>
      </w:tr>
      <w:tr>
        <w:trPr/>
        <w:tc>
          <w:tcPr>
            <w:tcW w:w="1679" w:type="dxa"/>
            <w:vMerge w:val="continue"/>
            <w:tcBorders>
              <w:top w:val="single" w:sz="12" w:space="0" w:color="FFFFFF"/>
              <w:left w:val="single" w:sz="12" w:space="0" w:color="FFFFFF"/>
              <w:bottom w:val="single" w:sz="12" w:space="0" w:color="FFFFFF"/>
              <w:right w:val="single" w:sz="12" w:space="0" w:color="FFFFFF"/>
            </w:tcBorders>
            <w:shd w:color="auto" w:fill="A144E8" w:val="clear"/>
            <w:vAlign w:val="center"/>
          </w:tcPr>
          <w:p>
            <w:pPr>
              <w:pStyle w:val="Normal"/>
              <w:pBdr/>
              <w:spacing w:lineRule="auto" w:line="276"/>
              <w:rPr>
                <w:rFonts w:ascii="Lexend Light" w:hAnsi="Lexend Light" w:eastAsia="Lexend Light" w:cs="Lexend Light"/>
              </w:rPr>
            </w:pPr>
            <w:r>
              <w:rPr>
                <w:rFonts w:eastAsia="Lexend Light" w:cs="Lexend Light" w:ascii="Lexend Light" w:hAnsi="Lexend Light"/>
              </w:rPr>
            </w:r>
          </w:p>
        </w:tc>
        <w:tc>
          <w:tcPr>
            <w:tcW w:w="4980" w:type="dxa"/>
            <w:tcBorders>
              <w:top w:val="single" w:sz="12" w:space="0" w:color="FFFFFF"/>
              <w:left w:val="single" w:sz="12" w:space="0" w:color="FFFFFF"/>
              <w:bottom w:val="single" w:sz="12" w:space="0" w:color="FFFFFF"/>
              <w:right w:val="single" w:sz="12" w:space="0" w:color="FFFFFF"/>
            </w:tcBorders>
            <w:shd w:color="auto" w:fill="EEF3FA" w:val="clear"/>
          </w:tcPr>
          <w:p>
            <w:pPr>
              <w:pStyle w:val="Normal"/>
              <w:jc w:val="both"/>
              <w:rPr>
                <w:rFonts w:ascii="Lexend Light" w:hAnsi="Lexend Light" w:eastAsia="Lexend Light" w:cs="Lexend Light"/>
              </w:rPr>
            </w:pPr>
            <w:r>
              <w:rPr>
                <w:rFonts w:eastAsia="Lexend Light" w:cs="Lexend Light" w:ascii="Lexend Light" w:hAnsi="Lexend Light"/>
              </w:rPr>
              <w:t>Aportes del proyecto frente a la problemática que pretende resolver y frente a las necesidades del ecosistema cultural.</w:t>
            </w:r>
          </w:p>
        </w:tc>
        <w:tc>
          <w:tcPr>
            <w:tcW w:w="1291" w:type="dxa"/>
            <w:tcBorders>
              <w:top w:val="single" w:sz="12" w:space="0" w:color="FFFFFF"/>
              <w:left w:val="single" w:sz="12" w:space="0" w:color="FFFFFF"/>
              <w:bottom w:val="single" w:sz="12" w:space="0" w:color="FFFFFF"/>
              <w:right w:val="single" w:sz="12" w:space="0" w:color="FFFFFF"/>
            </w:tcBorders>
            <w:shd w:color="auto" w:fill="FAFCFD" w:val="clear"/>
            <w:vAlign w:val="center"/>
          </w:tcPr>
          <w:p>
            <w:pPr>
              <w:pStyle w:val="Normal"/>
              <w:rPr>
                <w:rFonts w:ascii="Lexend Light" w:hAnsi="Lexend Light" w:eastAsia="Lexend Light" w:cs="Lexend Light"/>
              </w:rPr>
            </w:pPr>
            <w:r>
              <w:rPr>
                <w:rFonts w:eastAsia="Lexend Light" w:cs="Lexend Light" w:ascii="Lexend Light" w:hAnsi="Lexend Light"/>
              </w:rPr>
              <w:t>10 puntos</w:t>
            </w:r>
          </w:p>
        </w:tc>
        <w:tc>
          <w:tcPr>
            <w:tcW w:w="1259" w:type="dxa"/>
            <w:vMerge w:val="continue"/>
            <w:tcBorders>
              <w:top w:val="single" w:sz="12" w:space="0" w:color="FFFFFF"/>
              <w:left w:val="single" w:sz="12" w:space="0" w:color="FFFFFF"/>
              <w:bottom w:val="single" w:sz="12" w:space="0" w:color="FFFFFF"/>
              <w:right w:val="single" w:sz="12" w:space="0" w:color="FFFFFF"/>
            </w:tcBorders>
            <w:shd w:color="auto" w:fill="EEF3FA" w:val="clear"/>
            <w:vAlign w:val="center"/>
          </w:tcPr>
          <w:p>
            <w:pPr>
              <w:pStyle w:val="Normal"/>
              <w:pBdr/>
              <w:spacing w:lineRule="auto" w:line="276"/>
              <w:rPr>
                <w:rFonts w:ascii="Lexend Light" w:hAnsi="Lexend Light" w:eastAsia="Lexend Light" w:cs="Lexend Light"/>
              </w:rPr>
            </w:pPr>
            <w:r>
              <w:rPr>
                <w:rFonts w:eastAsia="Lexend Light" w:cs="Lexend Light" w:ascii="Lexend Light" w:hAnsi="Lexend Light"/>
              </w:rPr>
            </w:r>
          </w:p>
        </w:tc>
      </w:tr>
      <w:tr>
        <w:trPr>
          <w:trHeight w:val="420" w:hRule="atLeast"/>
        </w:trPr>
        <w:tc>
          <w:tcPr>
            <w:tcW w:w="1679" w:type="dxa"/>
            <w:tcBorders>
              <w:top w:val="single" w:sz="12" w:space="0" w:color="FFFFFF"/>
              <w:left w:val="single" w:sz="12" w:space="0" w:color="FFFFFF"/>
              <w:bottom w:val="single" w:sz="12" w:space="0" w:color="FFFFFF"/>
              <w:right w:val="single" w:sz="12" w:space="0" w:color="FFFFFF"/>
            </w:tcBorders>
            <w:shd w:color="auto" w:fill="A144E8" w:val="clear"/>
            <w:vAlign w:val="center"/>
          </w:tcPr>
          <w:p>
            <w:pPr>
              <w:pStyle w:val="Normal"/>
              <w:rPr>
                <w:rFonts w:ascii="Lexend" w:hAnsi="Lexend" w:eastAsia="Lexend" w:cs="Lexend"/>
                <w:color w:val="FFFFFF"/>
              </w:rPr>
            </w:pPr>
            <w:r>
              <w:rPr>
                <w:rFonts w:eastAsia="Lexend" w:cs="Lexend" w:ascii="Lexend" w:hAnsi="Lexend"/>
                <w:color w:val="FFFFFF"/>
              </w:rPr>
              <w:t>Coherencia</w:t>
            </w:r>
          </w:p>
        </w:tc>
        <w:tc>
          <w:tcPr>
            <w:tcW w:w="4980" w:type="dxa"/>
            <w:tcBorders>
              <w:top w:val="single" w:sz="12" w:space="0" w:color="FFFFFF"/>
              <w:left w:val="single" w:sz="12" w:space="0" w:color="FFFFFF"/>
              <w:bottom w:val="single" w:sz="12" w:space="0" w:color="FFFFFF"/>
              <w:right w:val="single" w:sz="12" w:space="0" w:color="FFFFFF"/>
            </w:tcBorders>
            <w:shd w:color="auto" w:fill="EEF3FA" w:val="clear"/>
          </w:tcPr>
          <w:p>
            <w:pPr>
              <w:pStyle w:val="Normal"/>
              <w:jc w:val="both"/>
              <w:rPr>
                <w:rFonts w:ascii="Lexend Light" w:hAnsi="Lexend Light" w:eastAsia="Lexend Light" w:cs="Lexend Light"/>
              </w:rPr>
            </w:pPr>
            <w:r>
              <w:rPr>
                <w:rFonts w:eastAsia="Lexend Light" w:cs="Lexend Light" w:ascii="Lexend Light" w:hAnsi="Lexend Light"/>
              </w:rPr>
              <w:t>Congruencia entre los componentes del proyecto: objetivos, metas, justificación, planteamiento metodológico, diseño técnico de sus estrategias, actividades de identificación y vinculación de públicos y beneficiarios y estrategia de construcción de memoria del proyecto.</w:t>
            </w:r>
          </w:p>
        </w:tc>
        <w:tc>
          <w:tcPr>
            <w:tcW w:w="1291" w:type="dxa"/>
            <w:tcBorders>
              <w:top w:val="single" w:sz="12" w:space="0" w:color="FFFFFF"/>
              <w:left w:val="single" w:sz="12" w:space="0" w:color="FFFFFF"/>
              <w:bottom w:val="single" w:sz="12" w:space="0" w:color="FFFFFF"/>
              <w:right w:val="single" w:sz="12" w:space="0" w:color="FFFFFF"/>
            </w:tcBorders>
            <w:shd w:color="auto" w:fill="FAFCFD" w:val="clear"/>
            <w:vAlign w:val="center"/>
          </w:tcPr>
          <w:p>
            <w:pPr>
              <w:pStyle w:val="Normal"/>
              <w:jc w:val="center"/>
              <w:rPr>
                <w:rFonts w:ascii="Lexend Light" w:hAnsi="Lexend Light" w:eastAsia="Lexend Light" w:cs="Lexend Light"/>
              </w:rPr>
            </w:pPr>
            <w:r>
              <w:rPr>
                <w:rFonts w:eastAsia="Lexend Light" w:cs="Lexend Light" w:ascii="Lexend Light" w:hAnsi="Lexend Light"/>
              </w:rPr>
              <w:t>25 puntos</w:t>
            </w:r>
          </w:p>
        </w:tc>
        <w:tc>
          <w:tcPr>
            <w:tcW w:w="1259" w:type="dxa"/>
            <w:tcBorders>
              <w:top w:val="single" w:sz="12" w:space="0" w:color="FFFFFF"/>
              <w:left w:val="single" w:sz="12" w:space="0" w:color="FFFFFF"/>
              <w:bottom w:val="single" w:sz="12" w:space="0" w:color="FFFFFF"/>
              <w:right w:val="single" w:sz="12" w:space="0" w:color="FFFFFF"/>
            </w:tcBorders>
            <w:shd w:color="auto" w:fill="EEF3FA" w:val="clear"/>
            <w:vAlign w:val="center"/>
          </w:tcPr>
          <w:p>
            <w:pPr>
              <w:pStyle w:val="Normal"/>
              <w:jc w:val="center"/>
              <w:rPr>
                <w:rFonts w:ascii="Lexend" w:hAnsi="Lexend" w:eastAsia="Lexend" w:cs="Lexend"/>
              </w:rPr>
            </w:pPr>
            <w:r>
              <w:rPr>
                <w:rFonts w:eastAsia="Lexend Light" w:cs="Lexend Light" w:ascii="Lexend Light" w:hAnsi="Lexend Light"/>
              </w:rPr>
              <w:t xml:space="preserve">25 </w:t>
            </w:r>
            <w:r>
              <w:rPr>
                <w:rFonts w:eastAsia="Lexend" w:cs="Lexend" w:ascii="Lexend" w:hAnsi="Lexend"/>
              </w:rPr>
              <w:t>puntos</w:t>
            </w:r>
          </w:p>
        </w:tc>
      </w:tr>
      <w:tr>
        <w:trPr/>
        <w:tc>
          <w:tcPr>
            <w:tcW w:w="1679" w:type="dxa"/>
            <w:vMerge w:val="restart"/>
            <w:tcBorders>
              <w:top w:val="single" w:sz="12" w:space="0" w:color="FFFFFF"/>
              <w:left w:val="single" w:sz="12" w:space="0" w:color="FFFFFF"/>
              <w:bottom w:val="single" w:sz="12" w:space="0" w:color="FFFFFF"/>
              <w:right w:val="single" w:sz="12" w:space="0" w:color="FFFFFF"/>
            </w:tcBorders>
            <w:shd w:color="auto" w:fill="A144E8" w:val="clear"/>
            <w:vAlign w:val="center"/>
          </w:tcPr>
          <w:p>
            <w:pPr>
              <w:pStyle w:val="Normal"/>
              <w:rPr>
                <w:rFonts w:ascii="Lexend" w:hAnsi="Lexend" w:eastAsia="Lexend" w:cs="Lexend"/>
                <w:color w:val="FFFFFF"/>
              </w:rPr>
            </w:pPr>
            <w:r>
              <w:rPr>
                <w:rFonts w:eastAsia="Lexend" w:cs="Lexend" w:ascii="Lexend" w:hAnsi="Lexend"/>
                <w:color w:val="FFFFFF"/>
              </w:rPr>
              <w:t>Viabilidad del Proyecto</w:t>
            </w:r>
          </w:p>
        </w:tc>
        <w:tc>
          <w:tcPr>
            <w:tcW w:w="4980" w:type="dxa"/>
            <w:tcBorders>
              <w:top w:val="single" w:sz="12" w:space="0" w:color="FFFFFF"/>
              <w:left w:val="single" w:sz="12" w:space="0" w:color="FFFFFF"/>
              <w:bottom w:val="single" w:sz="12" w:space="0" w:color="FFFFFF"/>
              <w:right w:val="single" w:sz="12" w:space="0" w:color="FFFFFF"/>
            </w:tcBorders>
            <w:shd w:color="auto" w:fill="EEF3FA" w:val="clear"/>
          </w:tcPr>
          <w:p>
            <w:pPr>
              <w:pStyle w:val="Normal"/>
              <w:jc w:val="both"/>
              <w:rPr>
                <w:rFonts w:ascii="Lexend Light" w:hAnsi="Lexend Light" w:eastAsia="Lexend Light" w:cs="Lexend Light"/>
              </w:rPr>
            </w:pPr>
            <w:r>
              <w:rPr>
                <w:rFonts w:eastAsia="Lexend Light" w:cs="Lexend Light" w:ascii="Lexend Light" w:hAnsi="Lexend Light"/>
                <w:b/>
              </w:rPr>
              <w:t>Presupuesto</w:t>
            </w:r>
            <w:r>
              <w:rPr>
                <w:rFonts w:eastAsia="Lexend Light" w:cs="Lexend Light" w:ascii="Lexend Light" w:hAnsi="Lexend Light"/>
              </w:rPr>
              <w:t>: coherencia entre los propósitos del proyecto, el coste, la planeación presupuestal (actividades, metas y recursos) y la cofinanciación gestionada.</w:t>
            </w:r>
          </w:p>
        </w:tc>
        <w:tc>
          <w:tcPr>
            <w:tcW w:w="1291" w:type="dxa"/>
            <w:tcBorders>
              <w:top w:val="single" w:sz="12" w:space="0" w:color="FFFFFF"/>
              <w:left w:val="single" w:sz="12" w:space="0" w:color="FFFFFF"/>
              <w:bottom w:val="single" w:sz="12" w:space="0" w:color="FFFFFF"/>
              <w:right w:val="single" w:sz="12" w:space="0" w:color="FFFFFF"/>
            </w:tcBorders>
            <w:shd w:color="auto" w:fill="FAFCFD" w:val="clear"/>
            <w:vAlign w:val="center"/>
          </w:tcPr>
          <w:p>
            <w:pPr>
              <w:pStyle w:val="Normal"/>
              <w:jc w:val="center"/>
              <w:rPr>
                <w:rFonts w:ascii="Lexend Light" w:hAnsi="Lexend Light" w:eastAsia="Lexend Light" w:cs="Lexend Light"/>
              </w:rPr>
            </w:pPr>
            <w:r>
              <w:rPr>
                <w:rFonts w:eastAsia="Lexend Light" w:cs="Lexend Light" w:ascii="Lexend Light" w:hAnsi="Lexend Light"/>
              </w:rPr>
              <w:t>5 puntos</w:t>
            </w:r>
          </w:p>
        </w:tc>
        <w:tc>
          <w:tcPr>
            <w:tcW w:w="1259" w:type="dxa"/>
            <w:vMerge w:val="restart"/>
            <w:tcBorders>
              <w:top w:val="single" w:sz="12" w:space="0" w:color="FFFFFF"/>
              <w:left w:val="single" w:sz="12" w:space="0" w:color="FFFFFF"/>
              <w:bottom w:val="single" w:sz="12" w:space="0" w:color="FFFFFF"/>
              <w:right w:val="single" w:sz="12" w:space="0" w:color="FFFFFF"/>
            </w:tcBorders>
            <w:shd w:color="auto" w:fill="EEF3FA" w:val="clear"/>
            <w:vAlign w:val="center"/>
          </w:tcPr>
          <w:p>
            <w:pPr>
              <w:pStyle w:val="Normal"/>
              <w:jc w:val="center"/>
              <w:rPr>
                <w:rFonts w:ascii="Lexend" w:hAnsi="Lexend" w:eastAsia="Lexend" w:cs="Lexend"/>
              </w:rPr>
            </w:pPr>
            <w:r>
              <w:rPr>
                <w:rFonts w:eastAsia="Lexend" w:cs="Lexend" w:ascii="Lexend" w:hAnsi="Lexend"/>
              </w:rPr>
              <w:t>15 puntos</w:t>
            </w:r>
          </w:p>
        </w:tc>
      </w:tr>
      <w:tr>
        <w:trPr/>
        <w:tc>
          <w:tcPr>
            <w:tcW w:w="1679" w:type="dxa"/>
            <w:vMerge w:val="continue"/>
            <w:tcBorders>
              <w:top w:val="single" w:sz="12" w:space="0" w:color="FFFFFF"/>
              <w:left w:val="single" w:sz="12" w:space="0" w:color="FFFFFF"/>
              <w:bottom w:val="single" w:sz="12" w:space="0" w:color="FFFFFF"/>
              <w:right w:val="single" w:sz="12" w:space="0" w:color="FFFFFF"/>
            </w:tcBorders>
            <w:shd w:color="auto" w:fill="A144E8" w:val="clear"/>
            <w:vAlign w:val="center"/>
          </w:tcPr>
          <w:p>
            <w:pPr>
              <w:pStyle w:val="Normal"/>
              <w:pBdr/>
              <w:spacing w:lineRule="auto" w:line="276"/>
              <w:rPr>
                <w:rFonts w:ascii="Lexend" w:hAnsi="Lexend" w:eastAsia="Lexend" w:cs="Lexend"/>
              </w:rPr>
            </w:pPr>
            <w:r>
              <w:rPr>
                <w:rFonts w:eastAsia="Lexend" w:cs="Lexend" w:ascii="Lexend" w:hAnsi="Lexend"/>
              </w:rPr>
            </w:r>
          </w:p>
        </w:tc>
        <w:tc>
          <w:tcPr>
            <w:tcW w:w="4980" w:type="dxa"/>
            <w:tcBorders>
              <w:top w:val="single" w:sz="12" w:space="0" w:color="FFFFFF"/>
              <w:left w:val="single" w:sz="12" w:space="0" w:color="FFFFFF"/>
              <w:bottom w:val="single" w:sz="12" w:space="0" w:color="FFFFFF"/>
              <w:right w:val="single" w:sz="12" w:space="0" w:color="FFFFFF"/>
            </w:tcBorders>
            <w:shd w:color="auto" w:fill="EEF3FA" w:val="clear"/>
          </w:tcPr>
          <w:p>
            <w:pPr>
              <w:pStyle w:val="Normal"/>
              <w:jc w:val="both"/>
              <w:rPr>
                <w:rFonts w:ascii="Lexend Light" w:hAnsi="Lexend Light" w:eastAsia="Lexend Light" w:cs="Lexend Light"/>
              </w:rPr>
            </w:pPr>
            <w:r>
              <w:rPr>
                <w:rFonts w:eastAsia="Lexend Light" w:cs="Lexend Light" w:ascii="Lexend Light" w:hAnsi="Lexend Light"/>
                <w:b/>
              </w:rPr>
              <w:t>Cronograma:</w:t>
            </w:r>
            <w:r>
              <w:rPr>
                <w:rFonts w:eastAsia="Lexend Light" w:cs="Lexend Light" w:ascii="Lexend Light" w:hAnsi="Lexend Light"/>
              </w:rPr>
              <w:t xml:space="preserve"> coherencia en la planeación de actividades con respecto a los objetivos y metas definidos para el proyecto.</w:t>
            </w:r>
          </w:p>
        </w:tc>
        <w:tc>
          <w:tcPr>
            <w:tcW w:w="1291" w:type="dxa"/>
            <w:tcBorders>
              <w:top w:val="single" w:sz="12" w:space="0" w:color="FFFFFF"/>
              <w:left w:val="single" w:sz="12" w:space="0" w:color="FFFFFF"/>
              <w:bottom w:val="single" w:sz="12" w:space="0" w:color="FFFFFF"/>
              <w:right w:val="single" w:sz="12" w:space="0" w:color="FFFFFF"/>
            </w:tcBorders>
            <w:shd w:color="auto" w:fill="FAFCFD" w:val="clear"/>
            <w:vAlign w:val="center"/>
          </w:tcPr>
          <w:p>
            <w:pPr>
              <w:pStyle w:val="Normal"/>
              <w:jc w:val="center"/>
              <w:rPr>
                <w:rFonts w:ascii="Lexend Light" w:hAnsi="Lexend Light" w:eastAsia="Lexend Light" w:cs="Lexend Light"/>
              </w:rPr>
            </w:pPr>
            <w:r>
              <w:rPr>
                <w:rFonts w:eastAsia="Lexend Light" w:cs="Lexend Light" w:ascii="Lexend Light" w:hAnsi="Lexend Light"/>
              </w:rPr>
              <w:t>5 puntos</w:t>
            </w:r>
          </w:p>
        </w:tc>
        <w:tc>
          <w:tcPr>
            <w:tcW w:w="1259" w:type="dxa"/>
            <w:vMerge w:val="continue"/>
            <w:tcBorders>
              <w:top w:val="single" w:sz="12" w:space="0" w:color="FFFFFF"/>
              <w:left w:val="single" w:sz="12" w:space="0" w:color="FFFFFF"/>
              <w:bottom w:val="single" w:sz="12" w:space="0" w:color="FFFFFF"/>
              <w:right w:val="single" w:sz="12" w:space="0" w:color="FFFFFF"/>
            </w:tcBorders>
            <w:shd w:color="auto" w:fill="EEF3FA" w:val="clear"/>
            <w:vAlign w:val="center"/>
          </w:tcPr>
          <w:p>
            <w:pPr>
              <w:pStyle w:val="Normal"/>
              <w:pBdr/>
              <w:spacing w:lineRule="auto" w:line="276"/>
              <w:rPr>
                <w:rFonts w:ascii="Lexend Light" w:hAnsi="Lexend Light" w:eastAsia="Lexend Light" w:cs="Lexend Light"/>
              </w:rPr>
            </w:pPr>
            <w:r>
              <w:rPr>
                <w:rFonts w:eastAsia="Lexend Light" w:cs="Lexend Light" w:ascii="Lexend Light" w:hAnsi="Lexend Light"/>
              </w:rPr>
            </w:r>
          </w:p>
        </w:tc>
      </w:tr>
      <w:tr>
        <w:trPr/>
        <w:tc>
          <w:tcPr>
            <w:tcW w:w="1679" w:type="dxa"/>
            <w:vMerge w:val="continue"/>
            <w:tcBorders>
              <w:top w:val="single" w:sz="12" w:space="0" w:color="FFFFFF"/>
              <w:left w:val="single" w:sz="12" w:space="0" w:color="FFFFFF"/>
              <w:bottom w:val="single" w:sz="12" w:space="0" w:color="FFFFFF"/>
              <w:right w:val="single" w:sz="12" w:space="0" w:color="FFFFFF"/>
            </w:tcBorders>
            <w:shd w:color="auto" w:fill="A144E8" w:val="clear"/>
            <w:vAlign w:val="center"/>
          </w:tcPr>
          <w:p>
            <w:pPr>
              <w:pStyle w:val="Normal"/>
              <w:pBdr/>
              <w:spacing w:lineRule="auto" w:line="276"/>
              <w:rPr>
                <w:rFonts w:ascii="Lexend Light" w:hAnsi="Lexend Light" w:eastAsia="Lexend Light" w:cs="Lexend Light"/>
              </w:rPr>
            </w:pPr>
            <w:r>
              <w:rPr>
                <w:rFonts w:eastAsia="Lexend Light" w:cs="Lexend Light" w:ascii="Lexend Light" w:hAnsi="Lexend Light"/>
              </w:rPr>
            </w:r>
          </w:p>
        </w:tc>
        <w:tc>
          <w:tcPr>
            <w:tcW w:w="4980" w:type="dxa"/>
            <w:tcBorders>
              <w:top w:val="single" w:sz="12" w:space="0" w:color="FFFFFF"/>
              <w:left w:val="single" w:sz="12" w:space="0" w:color="FFFFFF"/>
              <w:bottom w:val="single" w:sz="12" w:space="0" w:color="FFFFFF"/>
              <w:right w:val="single" w:sz="12" w:space="0" w:color="FFFFFF"/>
            </w:tcBorders>
            <w:shd w:color="auto" w:fill="EEF3FA" w:val="clear"/>
          </w:tcPr>
          <w:p>
            <w:pPr>
              <w:pStyle w:val="Normal"/>
              <w:ind w:right="155" w:hanging="0"/>
              <w:jc w:val="both"/>
              <w:rPr>
                <w:rFonts w:ascii="Lexend Light" w:hAnsi="Lexend Light" w:eastAsia="Lexend Light" w:cs="Lexend Light"/>
              </w:rPr>
            </w:pPr>
            <w:r>
              <w:rPr>
                <w:rFonts w:eastAsia="Lexend Light" w:cs="Lexend Light" w:ascii="Lexend Light" w:hAnsi="Lexend Light"/>
                <w:b/>
              </w:rPr>
              <w:t>Recurso humano:</w:t>
            </w:r>
            <w:r>
              <w:rPr>
                <w:rFonts w:eastAsia="Lexend Light" w:cs="Lexend Light" w:ascii="Lexend Light" w:hAnsi="Lexend Light"/>
              </w:rPr>
              <w:t xml:space="preserve"> definición de roles y equilibrio de estos en relación con las demandas operativas, creativas, logísticas y administrativas del proyecto.</w:t>
            </w:r>
          </w:p>
        </w:tc>
        <w:tc>
          <w:tcPr>
            <w:tcW w:w="1291" w:type="dxa"/>
            <w:tcBorders>
              <w:top w:val="single" w:sz="12" w:space="0" w:color="FFFFFF"/>
              <w:left w:val="single" w:sz="12" w:space="0" w:color="FFFFFF"/>
              <w:bottom w:val="single" w:sz="12" w:space="0" w:color="FFFFFF"/>
              <w:right w:val="single" w:sz="12" w:space="0" w:color="FFFFFF"/>
            </w:tcBorders>
            <w:shd w:color="auto" w:fill="FAFCFD" w:val="clear"/>
            <w:vAlign w:val="center"/>
          </w:tcPr>
          <w:p>
            <w:pPr>
              <w:pStyle w:val="Normal"/>
              <w:jc w:val="center"/>
              <w:rPr>
                <w:rFonts w:ascii="Lexend Light" w:hAnsi="Lexend Light" w:eastAsia="Lexend Light" w:cs="Lexend Light"/>
              </w:rPr>
            </w:pPr>
            <w:r>
              <w:rPr>
                <w:rFonts w:eastAsia="Lexend Light" w:cs="Lexend Light" w:ascii="Lexend Light" w:hAnsi="Lexend Light"/>
              </w:rPr>
              <w:t>5 puntos</w:t>
            </w:r>
          </w:p>
        </w:tc>
        <w:tc>
          <w:tcPr>
            <w:tcW w:w="1259" w:type="dxa"/>
            <w:vMerge w:val="continue"/>
            <w:tcBorders>
              <w:top w:val="single" w:sz="12" w:space="0" w:color="FFFFFF"/>
              <w:left w:val="single" w:sz="12" w:space="0" w:color="FFFFFF"/>
              <w:bottom w:val="single" w:sz="12" w:space="0" w:color="FFFFFF"/>
              <w:right w:val="single" w:sz="12" w:space="0" w:color="FFFFFF"/>
            </w:tcBorders>
            <w:shd w:color="auto" w:fill="EEF3FA" w:val="clear"/>
            <w:vAlign w:val="center"/>
          </w:tcPr>
          <w:p>
            <w:pPr>
              <w:pStyle w:val="Normal"/>
              <w:pBdr/>
              <w:spacing w:lineRule="auto" w:line="276"/>
              <w:rPr>
                <w:rFonts w:ascii="Lexend Light" w:hAnsi="Lexend Light" w:eastAsia="Lexend Light" w:cs="Lexend Light"/>
              </w:rPr>
            </w:pPr>
            <w:r>
              <w:rPr>
                <w:rFonts w:eastAsia="Lexend Light" w:cs="Lexend Light" w:ascii="Lexend Light" w:hAnsi="Lexend Light"/>
              </w:rPr>
            </w:r>
          </w:p>
        </w:tc>
      </w:tr>
      <w:tr>
        <w:trPr>
          <w:trHeight w:val="1029" w:hRule="atLeast"/>
        </w:trPr>
        <w:tc>
          <w:tcPr>
            <w:tcW w:w="1679" w:type="dxa"/>
            <w:vMerge w:val="restart"/>
            <w:tcBorders>
              <w:top w:val="single" w:sz="12" w:space="0" w:color="FFFFFF"/>
              <w:left w:val="single" w:sz="12" w:space="0" w:color="FFFFFF"/>
              <w:bottom w:val="single" w:sz="12" w:space="0" w:color="FFFFFF"/>
              <w:right w:val="single" w:sz="12" w:space="0" w:color="FFFFFF"/>
            </w:tcBorders>
            <w:shd w:color="auto" w:fill="A144E8" w:val="clear"/>
            <w:vAlign w:val="center"/>
          </w:tcPr>
          <w:p>
            <w:pPr>
              <w:pStyle w:val="Normal"/>
              <w:rPr>
                <w:rFonts w:ascii="Lexend" w:hAnsi="Lexend" w:eastAsia="Lexend" w:cs="Lexend"/>
                <w:color w:val="FFFFFF"/>
              </w:rPr>
            </w:pPr>
            <w:r>
              <w:rPr>
                <w:rFonts w:eastAsia="Lexend" w:cs="Lexend" w:ascii="Lexend" w:hAnsi="Lexend"/>
                <w:color w:val="FFFFFF"/>
              </w:rPr>
              <w:t xml:space="preserve">Impacto </w:t>
            </w:r>
          </w:p>
        </w:tc>
        <w:tc>
          <w:tcPr>
            <w:tcW w:w="4980" w:type="dxa"/>
            <w:tcBorders>
              <w:top w:val="single" w:sz="12" w:space="0" w:color="FFFFFF"/>
              <w:left w:val="single" w:sz="12" w:space="0" w:color="FFFFFF"/>
              <w:bottom w:val="single" w:sz="12" w:space="0" w:color="FFFFFF"/>
              <w:right w:val="single" w:sz="12" w:space="0" w:color="FFFFFF"/>
            </w:tcBorders>
            <w:shd w:color="auto" w:fill="EEF3FA" w:val="clear"/>
          </w:tcPr>
          <w:p>
            <w:pPr>
              <w:pStyle w:val="Normal"/>
              <w:widowControl/>
              <w:spacing w:lineRule="auto" w:line="259" w:before="240" w:after="240"/>
              <w:jc w:val="both"/>
              <w:rPr>
                <w:rFonts w:ascii="Lexend Light" w:hAnsi="Lexend Light" w:eastAsia="Lexend Light" w:cs="Lexend Light"/>
              </w:rPr>
            </w:pPr>
            <w:r>
              <w:rPr>
                <w:rFonts w:eastAsia="Lexend Light" w:cs="Lexend Light" w:ascii="Lexend Light" w:hAnsi="Lexend Light"/>
              </w:rPr>
              <w:t>Aportes del proyecto con relación a su línea de participación:</w:t>
            </w:r>
          </w:p>
          <w:p>
            <w:pPr>
              <w:pStyle w:val="Normal"/>
              <w:widowControl/>
              <w:numPr>
                <w:ilvl w:val="0"/>
                <w:numId w:val="6"/>
              </w:numPr>
              <w:spacing w:lineRule="auto" w:line="259"/>
              <w:ind w:left="330" w:hanging="315"/>
              <w:jc w:val="both"/>
              <w:rPr>
                <w:rFonts w:ascii="Lexend Light" w:hAnsi="Lexend Light" w:eastAsia="Lexend Light" w:cs="Lexend Light"/>
              </w:rPr>
            </w:pPr>
            <w:r>
              <w:rPr>
                <w:rFonts w:eastAsia="Lexend Light" w:cs="Lexend Light" w:ascii="Lexend Light" w:hAnsi="Lexend Light"/>
                <w:u w:val="single"/>
              </w:rPr>
              <w:t>Mi casa: lugar de encuentros y festivales:</w:t>
            </w:r>
            <w:r>
              <w:rPr>
                <w:rFonts w:eastAsia="Lexend Light" w:cs="Lexend Light" w:ascii="Lexend Light" w:hAnsi="Lexend Light"/>
              </w:rPr>
              <w:t xml:space="preserve"> aporte a la ampliación de oportunidades para la expresión, el acceso y el disfrute a la oferta artística, cultural, patrimonial o creativa de las comunidades presentes en la localidad o localidades a intervenir. Igualmente, sus estrategias deben promover la circulación y la gestión de públicos en pro de fortalecer la convivencia ciudadana, la transformación social para la vida en comunidad y el papel del arte, la cultura y el patrimonio como derecho.</w:t>
            </w:r>
          </w:p>
          <w:p>
            <w:pPr>
              <w:pStyle w:val="Normal"/>
              <w:widowControl/>
              <w:numPr>
                <w:ilvl w:val="0"/>
                <w:numId w:val="6"/>
              </w:numPr>
              <w:pBdr/>
              <w:spacing w:lineRule="auto" w:line="259"/>
              <w:ind w:left="330" w:hanging="315"/>
              <w:jc w:val="both"/>
              <w:rPr>
                <w:rFonts w:ascii="Lexend Light" w:hAnsi="Lexend Light" w:eastAsia="Lexend Light" w:cs="Lexend Light"/>
              </w:rPr>
            </w:pPr>
            <w:r>
              <w:rPr>
                <w:rFonts w:eastAsia="Lexend Light" w:cs="Lexend Light" w:ascii="Lexend Light" w:hAnsi="Lexend Light"/>
                <w:u w:val="single"/>
              </w:rPr>
              <w:t>Procesos de producción y circulación de espectáculos de las artes escénicas. Recursos de la Contribución Parafiscal Cultural - Ley de Espectáculos Públicos (LEP</w:t>
            </w:r>
            <w:r>
              <w:rPr>
                <w:rFonts w:eastAsia="Lexend Light" w:cs="Lexend Light" w:ascii="Lexend Light" w:hAnsi="Lexend Light"/>
                <w:b/>
              </w:rPr>
              <w:t>):</w:t>
            </w:r>
            <w:r>
              <w:rPr>
                <w:rFonts w:eastAsia="Lexend Light" w:cs="Lexend Light" w:ascii="Lexend Light" w:hAnsi="Lexend Light"/>
              </w:rPr>
              <w:t xml:space="preserve"> contribución a la ampliación del acceso y el disfrute de la oferta de las artes escénicas y a la activación y visibilización de diversos espacios tradicionales, alternativos o independientes de la localidad o localidades a intervenir. Se valorará la pertinencia de la estrategia de producción y circulación planteada; el aporte del proyecto al fortalecimiento de los lenguajes de las artes escénicas y a la inclusión/contratación/dinamización de los agentes de las artes escénicas.</w:t>
            </w:r>
          </w:p>
          <w:p>
            <w:pPr>
              <w:pStyle w:val="Normal"/>
              <w:widowControl/>
              <w:numPr>
                <w:ilvl w:val="0"/>
                <w:numId w:val="6"/>
              </w:numPr>
              <w:pBdr/>
              <w:spacing w:lineRule="auto" w:line="259"/>
              <w:ind w:left="330" w:hanging="315"/>
              <w:jc w:val="both"/>
              <w:rPr>
                <w:rFonts w:ascii="Lexend Light" w:hAnsi="Lexend Light" w:eastAsia="Lexend Light" w:cs="Lexend Light"/>
              </w:rPr>
            </w:pPr>
            <w:r>
              <w:rPr>
                <w:rFonts w:eastAsia="Lexend Light" w:cs="Lexend Light" w:ascii="Lexend Light" w:hAnsi="Lexend Light"/>
                <w:u w:val="single"/>
              </w:rPr>
              <w:t xml:space="preserve">Formación y fortalecimiento artístico, cultural, patrimonial o creativo: </w:t>
            </w:r>
            <w:r>
              <w:rPr>
                <w:rFonts w:eastAsia="Lexend Light" w:cs="Lexend Light" w:ascii="Lexend Light" w:hAnsi="Lexend Light"/>
              </w:rPr>
              <w:t>aporte al desarrollo de saberes, a la formación y al fortalecimiento de capacidades y competencias en las diversas áreas del arte, la cultura, el patrimonio o la creación de los y las habitantes de la localidad o localidades a intervenir. Igualmente Los proyectos deben expresar de manera clara, su enfoque pedagógico, metodología a trabajar, el perﬁl de las o los formadores a cargo y el de la población objetivo.</w:t>
            </w:r>
          </w:p>
          <w:p>
            <w:pPr>
              <w:pStyle w:val="Normal"/>
              <w:widowControl/>
              <w:numPr>
                <w:ilvl w:val="0"/>
                <w:numId w:val="6"/>
              </w:numPr>
              <w:pBdr/>
              <w:spacing w:lineRule="auto" w:line="259"/>
              <w:ind w:left="330" w:hanging="315"/>
              <w:jc w:val="both"/>
              <w:rPr>
                <w:rFonts w:ascii="Lexend Light" w:hAnsi="Lexend Light" w:eastAsia="Lexend Light" w:cs="Lexend Light"/>
              </w:rPr>
            </w:pPr>
            <w:r>
              <w:rPr>
                <w:rFonts w:eastAsia="Lexend Light" w:cs="Lexend Light" w:ascii="Lexend Light" w:hAnsi="Lexend Light"/>
                <w:u w:val="single"/>
              </w:rPr>
              <w:t>Dinamización de espacios:</w:t>
            </w:r>
            <w:r>
              <w:rPr>
                <w:rFonts w:eastAsia="Lexend Light" w:cs="Lexend Light" w:ascii="Lexend Light" w:hAnsi="Lexend Light"/>
                <w:i/>
              </w:rPr>
              <w:t xml:space="preserve"> </w:t>
            </w:r>
            <w:r>
              <w:rPr>
                <w:rFonts w:eastAsia="Lexend Light" w:cs="Lexend Light" w:ascii="Lexend Light" w:hAnsi="Lexend Light"/>
              </w:rPr>
              <w:t>aporte e incidencia de las actividades programadas por el proyecto, al fortalecimiento y a la diversificación de la programación o la oferta de servicios en sedes físicas o espacios móviles de carácter artístico, cultural, patrimonial y creativo de la localidad o localidades a intervenir.</w:t>
            </w:r>
          </w:p>
          <w:p>
            <w:pPr>
              <w:pStyle w:val="Normal"/>
              <w:widowControl/>
              <w:numPr>
                <w:ilvl w:val="0"/>
                <w:numId w:val="6"/>
              </w:numPr>
              <w:pBdr/>
              <w:spacing w:lineRule="auto" w:line="259"/>
              <w:ind w:left="330" w:hanging="315"/>
              <w:jc w:val="both"/>
              <w:rPr>
                <w:rFonts w:ascii="Lexend Light" w:hAnsi="Lexend Light" w:eastAsia="Lexend Light" w:cs="Lexend Light"/>
              </w:rPr>
            </w:pPr>
            <w:r>
              <w:rPr>
                <w:rFonts w:eastAsia="Lexend Light" w:cs="Lexend Light" w:ascii="Lexend Light" w:hAnsi="Lexend Light"/>
                <w:u w:val="single"/>
              </w:rPr>
              <w:t>Bogotá diversa e incluyente:</w:t>
            </w:r>
            <w:r>
              <w:rPr>
                <w:rFonts w:eastAsia="Lexend Light" w:cs="Lexend Light" w:ascii="Lexend Light" w:hAnsi="Lexend Light"/>
              </w:rPr>
              <w:t xml:space="preserve"> aporte a la reflexión acerca de los estereotipos e imaginarios que promueven la discriminación y que inciden en la generación de situaciones de violencia y segregación. Los proyectos presentados deberán expresar de manera clara su aporte a la cohesión cultural y a la disminución de barreras y brechas socioculturales o simbólicas a nivel barrial o veredal en la localidad o localidades a intervenir. </w:t>
            </w:r>
          </w:p>
          <w:p>
            <w:pPr>
              <w:pStyle w:val="Normal"/>
              <w:widowControl/>
              <w:numPr>
                <w:ilvl w:val="0"/>
                <w:numId w:val="6"/>
              </w:numPr>
              <w:pBdr/>
              <w:spacing w:lineRule="auto" w:line="259"/>
              <w:ind w:left="330" w:hanging="315"/>
              <w:jc w:val="both"/>
              <w:rPr>
                <w:rFonts w:ascii="Lexend Light" w:hAnsi="Lexend Light" w:eastAsia="Lexend Light" w:cs="Lexend Light"/>
              </w:rPr>
            </w:pPr>
            <w:r>
              <w:rPr>
                <w:rFonts w:eastAsia="Lexend Light" w:cs="Lexend Light" w:ascii="Lexend Light" w:hAnsi="Lexend Light"/>
                <w:u w:val="single"/>
              </w:rPr>
              <w:t>Comunidades de bien-estar: cultura del cuidado y la salud:</w:t>
            </w:r>
            <w:r>
              <w:rPr>
                <w:rFonts w:eastAsia="Lexend Light" w:cs="Lexend Light" w:ascii="Lexend Light" w:hAnsi="Lexend Light"/>
              </w:rPr>
              <w:t xml:space="preserve"> aporte al bienestar de las comunidades beneficiarias del proyecto, en pro de la construcción de una ciudad cuidadora, consciente y con capacidades para mejorar la calidad de vida de sus habitantes. Los proyectos deberán expresar de manera clara su aporte a la mejora: en la vitalidad, en los hábitos de vida saludables, en el cuidado de sí y de los otros, en la capacidad de resiliencia y en la calidad de vida individual y colectiva.</w:t>
            </w:r>
          </w:p>
          <w:p>
            <w:pPr>
              <w:pStyle w:val="Normal"/>
              <w:widowControl/>
              <w:numPr>
                <w:ilvl w:val="0"/>
                <w:numId w:val="6"/>
              </w:numPr>
              <w:pBdr/>
              <w:spacing w:lineRule="auto" w:line="259"/>
              <w:ind w:left="330" w:hanging="315"/>
              <w:jc w:val="both"/>
              <w:rPr>
                <w:rFonts w:ascii="Lexend Light" w:hAnsi="Lexend Light" w:eastAsia="Lexend Light" w:cs="Lexend Light"/>
              </w:rPr>
            </w:pPr>
            <w:r>
              <w:rPr>
                <w:rFonts w:eastAsia="Lexend Light" w:cs="Lexend Light" w:ascii="Lexend Light" w:hAnsi="Lexend Light"/>
                <w:u w:val="single"/>
              </w:rPr>
              <w:t>Transformaciones culturales para la convivencia pacífica y sostenible:</w:t>
            </w:r>
            <w:r>
              <w:rPr>
                <w:rFonts w:eastAsia="Lexend Light" w:cs="Lexend Light" w:ascii="Lexend Light" w:hAnsi="Lexend Light"/>
              </w:rPr>
              <w:t xml:space="preserve"> aporte a la transformación de percepciones, actitudes y comportamientos que afecten negativamente las relaciones entre las y los ciudadanos y de estos con su entorno. Los proyectos presentados deberán expresar de manera clara su aporte a la transformación cultural abordada y sus estrategias para vincular, de manera activa, a la ciudadanía como sujetos de las iniciativas.</w:t>
            </w:r>
          </w:p>
          <w:p>
            <w:pPr>
              <w:pStyle w:val="Normal"/>
              <w:widowControl/>
              <w:numPr>
                <w:ilvl w:val="0"/>
                <w:numId w:val="6"/>
              </w:numPr>
              <w:pBdr/>
              <w:spacing w:lineRule="auto" w:line="259" w:before="0" w:after="240"/>
              <w:ind w:left="330" w:hanging="315"/>
              <w:jc w:val="both"/>
              <w:rPr>
                <w:rFonts w:ascii="Lexend Light" w:hAnsi="Lexend Light" w:eastAsia="Lexend Light" w:cs="Lexend Light"/>
              </w:rPr>
            </w:pPr>
            <w:r>
              <w:rPr>
                <w:rFonts w:eastAsia="Lexend Light" w:cs="Lexend Light" w:ascii="Lexend Light" w:hAnsi="Lexend Light"/>
                <w:u w:val="single"/>
              </w:rPr>
              <w:t>Convergencia Digital: cultura, tecnología y comunidad:</w:t>
            </w:r>
            <w:r>
              <w:rPr>
                <w:rFonts w:eastAsia="Lexend Light" w:cs="Lexend Light" w:ascii="Lexend Light" w:hAnsi="Lexend Light"/>
              </w:rPr>
              <w:t xml:space="preserve"> aporte a la reducción de las brechas digitales, a la construcción de la memoria colectiva y el tejido social mediante la generación, sistematización, análisis, preservación, transmisión, difusión o circulación de contenidos para la promoción del ecosistema cultural de la localidad o localidades a intervenir.</w:t>
            </w:r>
          </w:p>
        </w:tc>
        <w:tc>
          <w:tcPr>
            <w:tcW w:w="1291" w:type="dxa"/>
            <w:tcBorders>
              <w:top w:val="single" w:sz="12" w:space="0" w:color="FFFFFF"/>
              <w:left w:val="single" w:sz="12" w:space="0" w:color="FFFFFF"/>
              <w:bottom w:val="single" w:sz="12" w:space="0" w:color="FFFFFF"/>
              <w:right w:val="single" w:sz="12" w:space="0" w:color="FFFFFF"/>
            </w:tcBorders>
            <w:shd w:color="auto" w:fill="FAFCFD" w:val="clear"/>
            <w:vAlign w:val="center"/>
          </w:tcPr>
          <w:p>
            <w:pPr>
              <w:pStyle w:val="Normal"/>
              <w:rPr>
                <w:rFonts w:ascii="Lexend Light" w:hAnsi="Lexend Light" w:eastAsia="Lexend Light" w:cs="Lexend Light"/>
              </w:rPr>
            </w:pPr>
            <w:r>
              <w:rPr>
                <w:rFonts w:eastAsia="Lexend Light" w:cs="Lexend Light" w:ascii="Lexend Light" w:hAnsi="Lexend Light"/>
              </w:rPr>
              <w:t>15 puntos</w:t>
            </w:r>
          </w:p>
        </w:tc>
        <w:tc>
          <w:tcPr>
            <w:tcW w:w="1259" w:type="dxa"/>
            <w:vMerge w:val="restart"/>
            <w:tcBorders>
              <w:top w:val="single" w:sz="12" w:space="0" w:color="FFFFFF"/>
              <w:left w:val="single" w:sz="12" w:space="0" w:color="FFFFFF"/>
              <w:bottom w:val="single" w:sz="12" w:space="0" w:color="FFFFFF"/>
              <w:right w:val="single" w:sz="12" w:space="0" w:color="FFFFFF"/>
            </w:tcBorders>
            <w:shd w:color="auto" w:fill="EEF3FA" w:val="clear"/>
            <w:vAlign w:val="center"/>
          </w:tcPr>
          <w:p>
            <w:pPr>
              <w:pStyle w:val="Normal"/>
              <w:jc w:val="center"/>
              <w:rPr>
                <w:rFonts w:ascii="Lexend" w:hAnsi="Lexend" w:eastAsia="Lexend" w:cs="Lexend"/>
              </w:rPr>
            </w:pPr>
            <w:r>
              <w:rPr>
                <w:rFonts w:eastAsia="Lexend" w:cs="Lexend" w:ascii="Lexend" w:hAnsi="Lexend"/>
              </w:rPr>
            </w:r>
          </w:p>
          <w:p>
            <w:pPr>
              <w:pStyle w:val="Normal"/>
              <w:jc w:val="center"/>
              <w:rPr>
                <w:rFonts w:ascii="Lexend" w:hAnsi="Lexend" w:eastAsia="Lexend" w:cs="Lexend"/>
              </w:rPr>
            </w:pPr>
            <w:r>
              <w:rPr>
                <w:rFonts w:eastAsia="Lexend" w:cs="Lexend" w:ascii="Lexend" w:hAnsi="Lexend"/>
              </w:rPr>
            </w:r>
          </w:p>
          <w:p>
            <w:pPr>
              <w:pStyle w:val="Normal"/>
              <w:jc w:val="center"/>
              <w:rPr>
                <w:rFonts w:ascii="Lexend" w:hAnsi="Lexend" w:eastAsia="Lexend" w:cs="Lexend"/>
              </w:rPr>
            </w:pPr>
            <w:r>
              <w:rPr>
                <w:rFonts w:eastAsia="Lexend" w:cs="Lexend" w:ascii="Lexend" w:hAnsi="Lexend"/>
              </w:rPr>
              <w:t>25 puntos</w:t>
            </w:r>
          </w:p>
          <w:p>
            <w:pPr>
              <w:pStyle w:val="Normal"/>
              <w:jc w:val="center"/>
              <w:rPr>
                <w:rFonts w:ascii="Lexend" w:hAnsi="Lexend" w:eastAsia="Lexend" w:cs="Lexend"/>
              </w:rPr>
            </w:pPr>
            <w:r>
              <w:rPr>
                <w:rFonts w:eastAsia="Lexend" w:cs="Lexend" w:ascii="Lexend" w:hAnsi="Lexend"/>
              </w:rPr>
            </w:r>
          </w:p>
          <w:p>
            <w:pPr>
              <w:pStyle w:val="Normal"/>
              <w:jc w:val="center"/>
              <w:rPr>
                <w:rFonts w:ascii="Lexend" w:hAnsi="Lexend" w:eastAsia="Lexend" w:cs="Lexend"/>
              </w:rPr>
            </w:pPr>
            <w:r>
              <w:rPr>
                <w:rFonts w:eastAsia="Lexend" w:cs="Lexend" w:ascii="Lexend" w:hAnsi="Lexend"/>
              </w:rPr>
            </w:r>
          </w:p>
        </w:tc>
      </w:tr>
      <w:tr>
        <w:trPr>
          <w:trHeight w:val="565" w:hRule="atLeast"/>
        </w:trPr>
        <w:tc>
          <w:tcPr>
            <w:tcW w:w="1679" w:type="dxa"/>
            <w:vMerge w:val="continue"/>
            <w:tcBorders>
              <w:top w:val="single" w:sz="12" w:space="0" w:color="FFFFFF"/>
              <w:left w:val="single" w:sz="12" w:space="0" w:color="FFFFFF"/>
              <w:bottom w:val="single" w:sz="12" w:space="0" w:color="FFFFFF"/>
              <w:right w:val="single" w:sz="12" w:space="0" w:color="FFFFFF"/>
            </w:tcBorders>
            <w:shd w:color="auto" w:fill="A144E8" w:val="clear"/>
            <w:vAlign w:val="center"/>
          </w:tcPr>
          <w:p>
            <w:pPr>
              <w:pStyle w:val="Normal"/>
              <w:pBdr/>
              <w:spacing w:lineRule="auto" w:line="276"/>
              <w:rPr>
                <w:rFonts w:ascii="Lexend" w:hAnsi="Lexend" w:eastAsia="Lexend" w:cs="Lexend"/>
              </w:rPr>
            </w:pPr>
            <w:r>
              <w:rPr>
                <w:rFonts w:eastAsia="Lexend" w:cs="Lexend" w:ascii="Lexend" w:hAnsi="Lexend"/>
              </w:rPr>
            </w:r>
          </w:p>
        </w:tc>
        <w:tc>
          <w:tcPr>
            <w:tcW w:w="4980" w:type="dxa"/>
            <w:tcBorders>
              <w:top w:val="single" w:sz="12" w:space="0" w:color="FFFFFF"/>
              <w:left w:val="single" w:sz="12" w:space="0" w:color="FFFFFF"/>
              <w:bottom w:val="single" w:sz="12" w:space="0" w:color="FFFFFF"/>
              <w:right w:val="single" w:sz="12" w:space="0" w:color="FFFFFF"/>
            </w:tcBorders>
            <w:shd w:color="auto" w:fill="EEF3FA" w:val="clear"/>
          </w:tcPr>
          <w:p>
            <w:pPr>
              <w:pStyle w:val="Normal"/>
              <w:jc w:val="both"/>
              <w:rPr>
                <w:rFonts w:ascii="Lexend Light" w:hAnsi="Lexend Light" w:eastAsia="Lexend Light" w:cs="Lexend Light"/>
              </w:rPr>
            </w:pPr>
            <w:r>
              <w:rPr>
                <w:rFonts w:eastAsia="Lexend Light" w:cs="Lexend Light" w:ascii="Lexend Light" w:hAnsi="Lexend Light"/>
              </w:rPr>
              <w:t>Estrategias e instrumentos propuestos para la medición del impacto esperado del proyecto.</w:t>
            </w:r>
          </w:p>
        </w:tc>
        <w:tc>
          <w:tcPr>
            <w:tcW w:w="1291" w:type="dxa"/>
            <w:tcBorders>
              <w:top w:val="single" w:sz="12" w:space="0" w:color="FFFFFF"/>
              <w:left w:val="single" w:sz="12" w:space="0" w:color="FFFFFF"/>
              <w:bottom w:val="single" w:sz="12" w:space="0" w:color="FFFFFF"/>
              <w:right w:val="single" w:sz="12" w:space="0" w:color="FFFFFF"/>
            </w:tcBorders>
            <w:shd w:color="auto" w:fill="EEF3FA" w:val="clear"/>
            <w:vAlign w:val="center"/>
          </w:tcPr>
          <w:p>
            <w:pPr>
              <w:pStyle w:val="Normal"/>
              <w:jc w:val="center"/>
              <w:rPr>
                <w:rFonts w:ascii="Lexend Light" w:hAnsi="Lexend Light" w:eastAsia="Lexend Light" w:cs="Lexend Light"/>
              </w:rPr>
            </w:pPr>
            <w:r>
              <w:rPr>
                <w:rFonts w:eastAsia="Lexend Light" w:cs="Lexend Light" w:ascii="Lexend Light" w:hAnsi="Lexend Light"/>
              </w:rPr>
              <w:t>10 puntos</w:t>
            </w:r>
          </w:p>
        </w:tc>
        <w:tc>
          <w:tcPr>
            <w:tcW w:w="1259" w:type="dxa"/>
            <w:vMerge w:val="continue"/>
            <w:tcBorders>
              <w:top w:val="single" w:sz="12" w:space="0" w:color="FFFFFF"/>
              <w:left w:val="single" w:sz="12" w:space="0" w:color="FFFFFF"/>
              <w:bottom w:val="single" w:sz="12" w:space="0" w:color="FFFFFF"/>
              <w:right w:val="single" w:sz="12" w:space="0" w:color="FFFFFF"/>
            </w:tcBorders>
            <w:shd w:color="auto" w:fill="EEF3FA" w:val="clear"/>
            <w:vAlign w:val="center"/>
          </w:tcPr>
          <w:p>
            <w:pPr>
              <w:pStyle w:val="Normal"/>
              <w:pBdr/>
              <w:spacing w:lineRule="auto" w:line="276"/>
              <w:rPr>
                <w:rFonts w:ascii="Lexend Light" w:hAnsi="Lexend Light" w:eastAsia="Lexend Light" w:cs="Lexend Light"/>
              </w:rPr>
            </w:pPr>
            <w:r>
              <w:rPr>
                <w:rFonts w:eastAsia="Lexend Light" w:cs="Lexend Light" w:ascii="Lexend Light" w:hAnsi="Lexend Light"/>
              </w:rPr>
            </w:r>
          </w:p>
        </w:tc>
      </w:tr>
      <w:tr>
        <w:trPr>
          <w:trHeight w:val="372" w:hRule="atLeast"/>
        </w:trPr>
        <w:tc>
          <w:tcPr>
            <w:tcW w:w="6659" w:type="dxa"/>
            <w:gridSpan w:val="2"/>
            <w:tcBorders>
              <w:top w:val="single" w:sz="12" w:space="0" w:color="FFFFFF"/>
              <w:left w:val="single" w:sz="12" w:space="0" w:color="FFFFFF"/>
              <w:bottom w:val="single" w:sz="12" w:space="0" w:color="FFFFFF"/>
              <w:right w:val="single" w:sz="12" w:space="0" w:color="FFFFFF"/>
            </w:tcBorders>
            <w:shd w:color="auto" w:fill="EEF3FA" w:val="clear"/>
            <w:vAlign w:val="center"/>
          </w:tcPr>
          <w:p>
            <w:pPr>
              <w:pStyle w:val="Normal"/>
              <w:jc w:val="right"/>
              <w:rPr>
                <w:rFonts w:ascii="Lexend Medium" w:hAnsi="Lexend Medium" w:eastAsia="Lexend Medium" w:cs="Lexend Medium"/>
                <w:b/>
                <w:b/>
              </w:rPr>
            </w:pPr>
            <w:r>
              <w:rPr>
                <w:rFonts w:eastAsia="Lexend Light" w:cs="Lexend Light" w:ascii="Lexend Light" w:hAnsi="Lexend Light"/>
                <w:b/>
                <w:color w:val="000000"/>
              </w:rPr>
              <w:t>Puntaje máximo de la evaluación técnica antes de la sustentación</w:t>
            </w:r>
          </w:p>
        </w:tc>
        <w:tc>
          <w:tcPr>
            <w:tcW w:w="2550" w:type="dxa"/>
            <w:gridSpan w:val="2"/>
            <w:tcBorders>
              <w:top w:val="single" w:sz="12" w:space="0" w:color="FFFFFF"/>
              <w:left w:val="single" w:sz="12" w:space="0" w:color="FFFFFF"/>
              <w:bottom w:val="single" w:sz="12" w:space="0" w:color="FFFFFF"/>
              <w:right w:val="single" w:sz="12" w:space="0" w:color="FFFFFF"/>
            </w:tcBorders>
            <w:shd w:color="auto" w:fill="EEF3FA" w:val="clear"/>
            <w:vAlign w:val="center"/>
          </w:tcPr>
          <w:p>
            <w:pPr>
              <w:pStyle w:val="Normal"/>
              <w:spacing w:lineRule="auto" w:line="276"/>
              <w:jc w:val="center"/>
              <w:rPr>
                <w:rFonts w:ascii="Lexend" w:hAnsi="Lexend" w:eastAsia="Lexend" w:cs="Lexend"/>
              </w:rPr>
            </w:pPr>
            <w:r>
              <w:rPr>
                <w:rFonts w:eastAsia="Lexend" w:cs="Lexend" w:ascii="Lexend" w:hAnsi="Lexend"/>
              </w:rPr>
              <w:t>85 puntos</w:t>
            </w:r>
          </w:p>
        </w:tc>
      </w:tr>
      <w:tr>
        <w:trPr>
          <w:trHeight w:val="423" w:hRule="atLeast"/>
        </w:trPr>
        <w:tc>
          <w:tcPr>
            <w:tcW w:w="6659" w:type="dxa"/>
            <w:gridSpan w:val="2"/>
            <w:tcBorders>
              <w:top w:val="single" w:sz="12" w:space="0" w:color="FFFFFF"/>
              <w:left w:val="single" w:sz="12" w:space="0" w:color="FFFFFF"/>
              <w:bottom w:val="single" w:sz="12" w:space="0" w:color="FFFFFF"/>
              <w:right w:val="single" w:sz="12" w:space="0" w:color="FFFFFF"/>
            </w:tcBorders>
            <w:shd w:color="auto" w:fill="EEF3FA" w:val="clear"/>
            <w:vAlign w:val="center"/>
          </w:tcPr>
          <w:p>
            <w:pPr>
              <w:pStyle w:val="Normal"/>
              <w:spacing w:lineRule="auto" w:line="276"/>
              <w:jc w:val="both"/>
              <w:rPr>
                <w:rFonts w:ascii="Lexend Light" w:hAnsi="Lexend Light" w:eastAsia="Lexend Light" w:cs="Lexend Light"/>
              </w:rPr>
            </w:pPr>
            <w:r>
              <w:rPr>
                <w:rFonts w:eastAsia="Lexend" w:cs="Lexend" w:ascii="Lexend" w:hAnsi="Lexend"/>
                <w:b/>
              </w:rPr>
              <w:t>Sustentación</w:t>
            </w:r>
            <w:r>
              <w:rPr>
                <w:rFonts w:eastAsia="Lexend Light" w:cs="Lexend Light" w:ascii="Lexend Light" w:hAnsi="Lexend Light"/>
              </w:rPr>
              <w:t>: Presentación ejecutiva del proyecto ante el equipo evaluador y respuesta a los interrogantes que este plantee.</w:t>
            </w:r>
          </w:p>
        </w:tc>
        <w:tc>
          <w:tcPr>
            <w:tcW w:w="2550" w:type="dxa"/>
            <w:gridSpan w:val="2"/>
            <w:tcBorders>
              <w:top w:val="single" w:sz="12" w:space="0" w:color="FFFFFF"/>
              <w:left w:val="single" w:sz="12" w:space="0" w:color="FFFFFF"/>
              <w:bottom w:val="single" w:sz="12" w:space="0" w:color="FFFFFF"/>
              <w:right w:val="single" w:sz="12" w:space="0" w:color="FFFFFF"/>
            </w:tcBorders>
            <w:shd w:color="auto" w:fill="EEF3FA" w:val="clear"/>
            <w:vAlign w:val="center"/>
          </w:tcPr>
          <w:p>
            <w:pPr>
              <w:pStyle w:val="Normal"/>
              <w:spacing w:lineRule="auto" w:line="276"/>
              <w:jc w:val="center"/>
              <w:rPr>
                <w:rFonts w:ascii="Lexend Light" w:hAnsi="Lexend Light" w:eastAsia="Lexend Light" w:cs="Lexend Light"/>
              </w:rPr>
            </w:pPr>
            <w:r>
              <w:rPr>
                <w:rFonts w:eastAsia="Lexend Light" w:cs="Lexend Light" w:ascii="Lexend Light" w:hAnsi="Lexend Light"/>
              </w:rPr>
              <w:t>15 puntos</w:t>
            </w:r>
          </w:p>
        </w:tc>
      </w:tr>
      <w:tr>
        <w:trPr>
          <w:trHeight w:val="423" w:hRule="atLeast"/>
        </w:trPr>
        <w:tc>
          <w:tcPr>
            <w:tcW w:w="6659" w:type="dxa"/>
            <w:gridSpan w:val="2"/>
            <w:tcBorders>
              <w:top w:val="single" w:sz="12" w:space="0" w:color="FFFFFF"/>
              <w:left w:val="single" w:sz="12" w:space="0" w:color="FFFFFF"/>
              <w:bottom w:val="single" w:sz="12" w:space="0" w:color="FFFFFF"/>
              <w:right w:val="single" w:sz="12" w:space="0" w:color="FFFFFF"/>
            </w:tcBorders>
            <w:shd w:color="auto" w:fill="A144E8" w:val="clear"/>
            <w:vAlign w:val="center"/>
          </w:tcPr>
          <w:p>
            <w:pPr>
              <w:pStyle w:val="Normal"/>
              <w:spacing w:lineRule="auto" w:line="276"/>
              <w:jc w:val="right"/>
              <w:rPr>
                <w:rFonts w:ascii="Lexend" w:hAnsi="Lexend" w:eastAsia="Lexend" w:cs="Lexend"/>
                <w:b/>
                <w:b/>
                <w:color w:val="FFFFFF"/>
              </w:rPr>
            </w:pPr>
            <w:r>
              <w:rPr>
                <w:rFonts w:eastAsia="Lexend Light" w:cs="Lexend Light" w:ascii="Lexend Light" w:hAnsi="Lexend Light"/>
                <w:b/>
                <w:color w:val="FFFFFF"/>
              </w:rPr>
              <w:t xml:space="preserve">Puntaje máximo evaluación técnica </w:t>
            </w:r>
          </w:p>
        </w:tc>
        <w:tc>
          <w:tcPr>
            <w:tcW w:w="2550" w:type="dxa"/>
            <w:gridSpan w:val="2"/>
            <w:tcBorders>
              <w:top w:val="single" w:sz="12" w:space="0" w:color="FFFFFF"/>
              <w:left w:val="single" w:sz="12" w:space="0" w:color="FFFFFF"/>
              <w:bottom w:val="single" w:sz="12" w:space="0" w:color="FFFFFF"/>
              <w:right w:val="single" w:sz="12" w:space="0" w:color="FFFFFF"/>
            </w:tcBorders>
            <w:shd w:color="auto" w:fill="A144E8" w:val="clear"/>
            <w:vAlign w:val="center"/>
          </w:tcPr>
          <w:p>
            <w:pPr>
              <w:pStyle w:val="Normal"/>
              <w:spacing w:lineRule="auto" w:line="276"/>
              <w:jc w:val="center"/>
              <w:rPr>
                <w:rFonts w:ascii="Lexend Light" w:hAnsi="Lexend Light" w:eastAsia="Lexend Light" w:cs="Lexend Light"/>
                <w:b/>
                <w:b/>
                <w:color w:val="FFFFFF"/>
              </w:rPr>
            </w:pPr>
            <w:r>
              <w:rPr>
                <w:rFonts w:eastAsia="Lexend Light" w:cs="Lexend Light" w:ascii="Lexend Light" w:hAnsi="Lexend Light"/>
                <w:b/>
                <w:color w:val="FFFFFF"/>
              </w:rPr>
              <w:t>100 puntos</w:t>
            </w:r>
          </w:p>
        </w:tc>
      </w:tr>
    </w:tbl>
    <w:p>
      <w:pPr>
        <w:pStyle w:val="Normal"/>
        <w:pBdr/>
        <w:spacing w:before="3" w:after="0"/>
        <w:rPr>
          <w:color w:val="000000"/>
          <w:sz w:val="10"/>
          <w:szCs w:val="10"/>
        </w:rPr>
      </w:pPr>
      <w:r>
        <w:rPr>
          <w:color w:val="000000"/>
          <w:sz w:val="10"/>
          <w:szCs w:val="10"/>
        </w:rPr>
      </w:r>
    </w:p>
    <w:p>
      <w:pPr>
        <w:pStyle w:val="Normal"/>
        <w:pBdr/>
        <w:spacing w:lineRule="auto" w:line="367" w:before="99" w:after="0"/>
        <w:ind w:left="221" w:hanging="0"/>
        <w:rPr>
          <w:rFonts w:ascii="Lexend Light" w:hAnsi="Lexend Light" w:eastAsia="Lexend Light" w:cs="Lexend Light"/>
          <w:color w:val="000000"/>
        </w:rPr>
      </w:pPr>
      <w:r>
        <w:rPr>
          <w:rFonts w:eastAsia="Lexend Light" w:cs="Lexend Light" w:ascii="Lexend Light" w:hAnsi="Lexend Light"/>
          <w:b/>
          <w:color w:val="EC52C1"/>
        </w:rPr>
        <w:t>Nota</w:t>
      </w:r>
      <w:r>
        <w:rPr>
          <w:color w:val="EC52C1"/>
        </w:rPr>
        <w:t xml:space="preserve">. </w:t>
      </w:r>
      <w:r>
        <w:rPr>
          <w:rFonts w:eastAsia="Lexend Light" w:cs="Lexend Light" w:ascii="Lexend Light" w:hAnsi="Lexend Light"/>
          <w:color w:val="000000"/>
        </w:rPr>
        <w:t>La única evaluación técnica de los proyectos habilitados es la realizada por la entidad encargada de la evaluación, contra esta evaluación no procede recurso de reposición, ni posibilidad de segundas instancias de evaluación.</w:t>
      </w:r>
    </w:p>
    <w:p>
      <w:pPr>
        <w:pStyle w:val="Ttulo2"/>
        <w:numPr>
          <w:ilvl w:val="1"/>
          <w:numId w:val="9"/>
        </w:numPr>
        <w:tabs>
          <w:tab w:val="clear" w:pos="720"/>
          <w:tab w:val="left" w:pos="1015" w:leader="none"/>
          <w:tab w:val="left" w:pos="1016" w:leader="none"/>
          <w:tab w:val="left" w:pos="2197" w:leader="none"/>
          <w:tab w:val="left" w:pos="2709" w:leader="none"/>
        </w:tabs>
        <w:spacing w:lineRule="auto" w:line="247" w:before="164" w:after="0"/>
        <w:ind w:left="1016" w:right="406" w:hanging="735"/>
        <w:jc w:val="both"/>
        <w:rPr>
          <w:rFonts w:ascii="Lexend Light" w:hAnsi="Lexend Light" w:eastAsia="Lexend Light" w:cs="Lexend Light"/>
          <w:color w:val="F150D4"/>
        </w:rPr>
      </w:pPr>
      <w:r>
        <w:rPr>
          <w:rFonts w:eastAsia="Lexend Light" w:cs="Lexend Light" w:ascii="Lexend Light" w:hAnsi="Lexend Light"/>
          <w:color w:val="2E5395"/>
        </w:rPr>
        <w:t>¿Cómo se define cuáles proyectos habilitados-idóneos son llamados a sustentar?</w:t>
      </w:r>
    </w:p>
    <w:p>
      <w:pPr>
        <w:pStyle w:val="Normal"/>
        <w:pBdr/>
        <w:spacing w:lineRule="auto" w:line="367" w:before="236" w:after="0"/>
        <w:ind w:left="221" w:right="406" w:hanging="0"/>
        <w:jc w:val="both"/>
        <w:rPr>
          <w:rFonts w:ascii="Lexend Light" w:hAnsi="Lexend Light" w:eastAsia="Lexend Light" w:cs="Lexend Light"/>
          <w:color w:val="000000"/>
        </w:rPr>
      </w:pPr>
      <w:r>
        <w:rPr>
          <w:rFonts w:eastAsia="Lexend Light" w:cs="Lexend Light" w:ascii="Lexend Light" w:hAnsi="Lexend Light"/>
          <w:color w:val="000000"/>
        </w:rPr>
        <w:t>Realizada la evaluación técnica de los proyectos habilitados-idóneos de acuerdo con los criterios mencionados anteriormente, se publicará el</w:t>
      </w:r>
      <w:r>
        <w:rPr>
          <w:rFonts w:eastAsia="Lexend Light" w:cs="Lexend Light" w:ascii="Lexend Light" w:hAnsi="Lexend Light"/>
          <w:color w:val="382263"/>
        </w:rPr>
        <w:t xml:space="preserve"> </w:t>
      </w:r>
      <w:r>
        <w:rPr>
          <w:rFonts w:eastAsia="Lexend Light" w:cs="Lexend Light" w:ascii="Lexend Light" w:hAnsi="Lexend Light"/>
          <w:i/>
          <w:color w:val="382263"/>
        </w:rPr>
        <w:t>listado de entidades con proyectos llamados a sustentar</w:t>
      </w:r>
      <w:r>
        <w:rPr>
          <w:rFonts w:eastAsia="Lexend Light" w:cs="Lexend Light" w:ascii="Lexend Light" w:hAnsi="Lexend Light"/>
          <w:i/>
          <w:color w:val="000000"/>
        </w:rPr>
        <w:t>,</w:t>
      </w:r>
      <w:r>
        <w:rPr>
          <w:rFonts w:eastAsia="Lexend Light" w:cs="Lexend Light" w:ascii="Lexend Light" w:hAnsi="Lexend Light"/>
          <w:color w:val="000000"/>
        </w:rPr>
        <w:t xml:space="preserve"> el cual estará integrado por aquellos proyectos que hayan obtenido un puntaje igual o superior a cincuenta y cinco (55) puntos antes de la sustentación.</w:t>
      </w:r>
    </w:p>
    <w:p>
      <w:pPr>
        <w:pStyle w:val="Normal"/>
        <w:pBdr/>
        <w:spacing w:lineRule="auto" w:line="367" w:before="203" w:after="0"/>
        <w:ind w:left="221" w:right="403" w:hanging="0"/>
        <w:jc w:val="both"/>
        <w:rPr/>
      </w:pPr>
      <w:r>
        <w:rPr>
          <w:rFonts w:eastAsia="Lexend Light" w:cs="Lexend Light" w:ascii="Lexend Light" w:hAnsi="Lexend Light"/>
          <w:color w:val="000000"/>
        </w:rPr>
        <w:t xml:space="preserve">Las entidades participantes tendrán un plazo de tres (3) días hábiles luego de publicado el listado, para presentar observaciones o solicitar aclaraciones sobre el resultado, al correo </w:t>
      </w:r>
      <w:hyperlink r:id="rId23">
        <w:r>
          <w:rPr>
            <w:rStyle w:val="Style"/>
            <w:rFonts w:eastAsia="Lexend Light" w:cs="Lexend Light" w:ascii="Lexend Light" w:hAnsi="Lexend Light"/>
            <w:color w:val="0563C1"/>
            <w:u w:val="single"/>
          </w:rPr>
          <w:t>convocatorias@scrd.gov.co</w:t>
        </w:r>
      </w:hyperlink>
      <w:r>
        <w:rPr>
          <w:rFonts w:eastAsia="Lexend Light" w:cs="Lexend Light" w:ascii="Lexend Light" w:hAnsi="Lexend Light"/>
          <w:color w:val="000000"/>
        </w:rPr>
        <w:t>, plazo después del cual el listado quedará en ﬁrme.</w:t>
      </w:r>
    </w:p>
    <w:p>
      <w:pPr>
        <w:pStyle w:val="Ttulo2"/>
        <w:numPr>
          <w:ilvl w:val="1"/>
          <w:numId w:val="9"/>
        </w:numPr>
        <w:tabs>
          <w:tab w:val="clear" w:pos="720"/>
          <w:tab w:val="left" w:pos="1015" w:leader="none"/>
          <w:tab w:val="left" w:pos="1016" w:leader="none"/>
        </w:tabs>
        <w:spacing w:before="164" w:after="0"/>
        <w:rPr>
          <w:rFonts w:ascii="Lexend Light" w:hAnsi="Lexend Light" w:eastAsia="Lexend Light" w:cs="Lexend Light"/>
          <w:color w:val="F150D4"/>
        </w:rPr>
      </w:pPr>
      <w:r>
        <w:rPr>
          <w:rFonts w:eastAsia="Lexend Light" w:cs="Lexend Light" w:ascii="Lexend Light" w:hAnsi="Lexend Light"/>
          <w:color w:val="2E5395"/>
        </w:rPr>
        <w:t>¿Cómo se caliﬁca la sustentación?</w:t>
      </w:r>
    </w:p>
    <w:p>
      <w:pPr>
        <w:pStyle w:val="Normal"/>
        <w:pBdr/>
        <w:spacing w:before="4" w:after="0"/>
        <w:rPr>
          <w:rFonts w:ascii="Tahoma" w:hAnsi="Tahoma" w:eastAsia="Tahoma" w:cs="Tahoma"/>
          <w:b/>
          <w:b/>
          <w:color w:val="000000"/>
          <w:sz w:val="35"/>
          <w:szCs w:val="35"/>
        </w:rPr>
      </w:pPr>
      <w:r>
        <w:rPr>
          <w:rFonts w:eastAsia="Tahoma" w:cs="Tahoma" w:ascii="Tahoma" w:hAnsi="Tahoma"/>
          <w:b/>
          <w:color w:val="000000"/>
          <w:sz w:val="35"/>
          <w:szCs w:val="35"/>
        </w:rPr>
      </w:r>
    </w:p>
    <w:p>
      <w:pPr>
        <w:pStyle w:val="Normal"/>
        <w:pBdr/>
        <w:spacing w:lineRule="auto" w:line="367"/>
        <w:ind w:left="221" w:right="406" w:hanging="0"/>
        <w:jc w:val="both"/>
        <w:rPr>
          <w:rFonts w:ascii="Lexend Light" w:hAnsi="Lexend Light" w:eastAsia="Lexend Light" w:cs="Lexend Light"/>
          <w:color w:val="000000"/>
        </w:rPr>
      </w:pPr>
      <w:r>
        <w:rPr>
          <w:rFonts w:eastAsia="Lexend Light" w:cs="Lexend Light" w:ascii="Lexend Light" w:hAnsi="Lexend Light"/>
          <w:color w:val="000000"/>
        </w:rPr>
        <w:t>La entidad encargada de la evaluación caliﬁcará la sustentación de los proyectos llamados a tal efecto, asignándole a cada uno una caliﬁcación máxima de 15 puntos, que se sumarán al puntaje de la evaluación técnica antes de la sustentación.</w:t>
      </w:r>
    </w:p>
    <w:p>
      <w:pPr>
        <w:pStyle w:val="Normal"/>
        <w:pBdr/>
        <w:spacing w:before="6" w:after="0"/>
        <w:rPr>
          <w:color w:val="000000"/>
          <w:sz w:val="17"/>
          <w:szCs w:val="17"/>
        </w:rPr>
      </w:pPr>
      <w:r>
        <w:rPr>
          <w:color w:val="000000"/>
          <w:sz w:val="17"/>
          <w:szCs w:val="17"/>
        </w:rPr>
      </w:r>
    </w:p>
    <w:p>
      <w:pPr>
        <w:pStyle w:val="Ttulo5"/>
        <w:spacing w:before="100" w:after="0"/>
        <w:ind w:left="221" w:hanging="0"/>
        <w:jc w:val="both"/>
        <w:rPr>
          <w:rFonts w:ascii="Lexend Light" w:hAnsi="Lexend Light" w:eastAsia="Lexend Light" w:cs="Lexend Light"/>
        </w:rPr>
      </w:pPr>
      <w:r>
        <w:rPr>
          <w:rFonts w:eastAsia="Lexend Light" w:cs="Lexend Light" w:ascii="Lexend Light" w:hAnsi="Lexend Light"/>
          <w:color w:val="EC52C1"/>
        </w:rPr>
        <w:t>ASPECTOS A TENER EN CUENTA EN LA SUSTENTACIÓN</w:t>
      </w:r>
    </w:p>
    <w:p>
      <w:pPr>
        <w:pStyle w:val="Normal"/>
        <w:pBdr/>
        <w:spacing w:before="4" w:after="0"/>
        <w:rPr>
          <w:rFonts w:ascii="Tahoma" w:hAnsi="Tahoma" w:eastAsia="Tahoma" w:cs="Tahoma"/>
          <w:b/>
          <w:b/>
          <w:color w:val="000000"/>
          <w:sz w:val="25"/>
          <w:szCs w:val="25"/>
        </w:rPr>
      </w:pPr>
      <w:r>
        <w:rPr>
          <w:rFonts w:eastAsia="Tahoma" w:cs="Tahoma" w:ascii="Tahoma" w:hAnsi="Tahoma"/>
          <w:b/>
          <w:color w:val="000000"/>
          <w:sz w:val="25"/>
          <w:szCs w:val="25"/>
        </w:rPr>
      </w:r>
    </w:p>
    <w:p>
      <w:pPr>
        <w:pStyle w:val="Normal"/>
        <w:numPr>
          <w:ilvl w:val="0"/>
          <w:numId w:val="5"/>
        </w:numPr>
        <w:pBdr/>
        <w:tabs>
          <w:tab w:val="clear" w:pos="720"/>
          <w:tab w:val="left" w:pos="580" w:leader="none"/>
          <w:tab w:val="left" w:pos="581" w:leader="none"/>
        </w:tabs>
        <w:spacing w:lineRule="auto" w:line="367"/>
        <w:ind w:left="581" w:right="400" w:hanging="360"/>
        <w:rPr>
          <w:rFonts w:ascii="Lexend Light" w:hAnsi="Lexend Light" w:eastAsia="Lexend Light" w:cs="Lexend Light"/>
        </w:rPr>
      </w:pPr>
      <w:r>
        <w:rPr>
          <w:rFonts w:eastAsia="Lexend Light" w:cs="Lexend Light" w:ascii="Lexend Light" w:hAnsi="Lexend Light"/>
          <w:color w:val="000000"/>
        </w:rPr>
        <w:t>A la sustentación debe asistir el representante legal de la entidad llamada a sustentar, o su delegado debidamente autorizado.</w:t>
      </w:r>
    </w:p>
    <w:p>
      <w:pPr>
        <w:pStyle w:val="Normal"/>
        <w:numPr>
          <w:ilvl w:val="0"/>
          <w:numId w:val="5"/>
        </w:numPr>
        <w:pBdr/>
        <w:tabs>
          <w:tab w:val="clear" w:pos="720"/>
          <w:tab w:val="left" w:pos="580" w:leader="none"/>
          <w:tab w:val="left" w:pos="581" w:leader="none"/>
        </w:tabs>
        <w:spacing w:lineRule="auto" w:line="367" w:before="2" w:after="0"/>
        <w:ind w:left="581" w:right="401" w:hanging="360"/>
        <w:rPr>
          <w:rFonts w:ascii="Lexend Light" w:hAnsi="Lexend Light" w:eastAsia="Lexend Light" w:cs="Lexend Light"/>
        </w:rPr>
      </w:pPr>
      <w:r>
        <w:rPr>
          <w:rFonts w:eastAsia="Lexend Light" w:cs="Lexend Light" w:ascii="Lexend Light" w:hAnsi="Lexend Light"/>
          <w:color w:val="000000"/>
        </w:rPr>
        <w:t>Las entidades que sean citadas a sustentación y no asistan, obtendrán como puntaje cero (0) en esta fase de la evaluación.</w:t>
      </w:r>
    </w:p>
    <w:p>
      <w:pPr>
        <w:pStyle w:val="Ttulo2"/>
        <w:numPr>
          <w:ilvl w:val="1"/>
          <w:numId w:val="9"/>
        </w:numPr>
        <w:tabs>
          <w:tab w:val="clear" w:pos="720"/>
          <w:tab w:val="left" w:pos="1015" w:leader="none"/>
          <w:tab w:val="left" w:pos="1016" w:leader="none"/>
        </w:tabs>
        <w:spacing w:before="164" w:after="0"/>
        <w:rPr>
          <w:rFonts w:ascii="Lexend Light" w:hAnsi="Lexend Light" w:eastAsia="Lexend Light" w:cs="Lexend Light"/>
          <w:color w:val="EC52C1"/>
        </w:rPr>
      </w:pPr>
      <w:r>
        <w:rPr>
          <w:rFonts w:eastAsia="Lexend Light" w:cs="Lexend Light" w:ascii="Lexend Light" w:hAnsi="Lexend Light"/>
          <w:color w:val="2E5395"/>
        </w:rPr>
        <w:t>¿Cómo se seleccionan los proyectos a incluir en el listado de proyectos elegibles?</w:t>
      </w:r>
    </w:p>
    <w:p>
      <w:pPr>
        <w:pStyle w:val="Normal"/>
        <w:pBdr/>
        <w:spacing w:lineRule="auto" w:line="367" w:before="236" w:after="0"/>
        <w:ind w:left="221" w:right="401" w:hanging="0"/>
        <w:jc w:val="both"/>
        <w:rPr>
          <w:rFonts w:ascii="Lexend Light" w:hAnsi="Lexend Light" w:eastAsia="Lexend Light" w:cs="Lexend Light"/>
          <w:color w:val="000000"/>
        </w:rPr>
      </w:pPr>
      <w:r>
        <w:rPr>
          <w:rFonts w:eastAsia="Lexend Light" w:cs="Lexend Light" w:ascii="Lexend Light" w:hAnsi="Lexend Light"/>
          <w:color w:val="000000"/>
        </w:rPr>
        <w:t xml:space="preserve">Una vez ﬁnalizado el proceso de evaluación técnica de los proyectos, se conformará el </w:t>
      </w:r>
      <w:r>
        <w:rPr>
          <w:rFonts w:eastAsia="Lexend Light" w:cs="Lexend Light" w:ascii="Lexend Light" w:hAnsi="Lexend Light"/>
          <w:i/>
          <w:color w:val="000000"/>
        </w:rPr>
        <w:t xml:space="preserve">listado de proyectos elegibles </w:t>
      </w:r>
      <w:r>
        <w:rPr>
          <w:rFonts w:eastAsia="Lexend Light" w:cs="Lexend Light" w:ascii="Lexend Light" w:hAnsi="Lexend Light"/>
          <w:color w:val="000000"/>
        </w:rPr>
        <w:t>que estará integrado por aquellos que hayan obtenido un puntaje igual o superior a setenta (70) puntos.</w:t>
      </w:r>
    </w:p>
    <w:p>
      <w:pPr>
        <w:sectPr>
          <w:headerReference w:type="default" r:id="rId25"/>
          <w:footerReference w:type="default" r:id="rId26"/>
          <w:type w:val="nextPage"/>
          <w:pgSz w:w="12240" w:h="15840"/>
          <w:pgMar w:left="1480" w:right="1300" w:header="30" w:top="1500" w:footer="1781" w:bottom="1981" w:gutter="0"/>
          <w:pgNumType w:fmt="decimal"/>
          <w:formProt w:val="false"/>
          <w:textDirection w:val="lrTb"/>
          <w:docGrid w:type="default" w:linePitch="100" w:charSpace="4096"/>
        </w:sectPr>
        <w:pStyle w:val="Normal"/>
        <w:pBdr/>
        <w:spacing w:lineRule="auto" w:line="367" w:before="202" w:after="0"/>
        <w:ind w:left="221" w:right="403" w:hanging="0"/>
        <w:jc w:val="both"/>
        <w:rPr/>
      </w:pPr>
      <w:r>
        <w:rPr>
          <w:rFonts w:eastAsia="Lexend Light" w:cs="Lexend Light" w:ascii="Lexend Light" w:hAnsi="Lexend Light"/>
          <w:color w:val="000000"/>
        </w:rPr>
        <w:t>Las entidades participantes tendrán un plazo de tres (3) días hábiles luego de publicado el listado, para presentar observaciones o solicitar aclaraciones sobre el resultado, al correo</w:t>
      </w:r>
      <w:r>
        <w:rPr>
          <w:color w:val="000000"/>
        </w:rPr>
        <w:t xml:space="preserve"> </w:t>
      </w:r>
      <w:hyperlink r:id="rId24">
        <w:r>
          <w:rPr>
            <w:rStyle w:val="Style"/>
            <w:rFonts w:eastAsia="Lexend Light" w:cs="Lexend Light" w:ascii="Lexend Light" w:hAnsi="Lexend Light"/>
            <w:color w:val="0563C1"/>
            <w:u w:val="single"/>
          </w:rPr>
          <w:t>convocatorias@scrd.gov.co</w:t>
        </w:r>
      </w:hyperlink>
      <w:r>
        <w:rPr>
          <w:rFonts w:eastAsia="Lexend Light" w:cs="Lexend Light" w:ascii="Lexend Light" w:hAnsi="Lexend Light"/>
          <w:color w:val="000000"/>
        </w:rPr>
        <w:t>, plazo después del cual el listado quedará en ﬁrme.</w:t>
      </w:r>
    </w:p>
    <w:p>
      <w:pPr>
        <w:pStyle w:val="Normal"/>
        <w:pBdr/>
        <w:rPr>
          <w:color w:val="000000"/>
          <w:sz w:val="20"/>
          <w:szCs w:val="20"/>
        </w:rPr>
      </w:pPr>
      <w:r>
        <w:rPr>
          <w:color w:val="000000"/>
          <w:sz w:val="20"/>
          <w:szCs w:val="20"/>
        </w:rPr>
      </w:r>
    </w:p>
    <w:p>
      <w:pPr>
        <w:pStyle w:val="Normal"/>
        <w:pBdr/>
        <w:rPr>
          <w:color w:val="000000"/>
          <w:sz w:val="20"/>
          <w:szCs w:val="20"/>
        </w:rPr>
      </w:pPr>
      <w:r>
        <w:rPr>
          <w:color w:val="000000"/>
          <w:sz w:val="20"/>
          <w:szCs w:val="20"/>
        </w:rPr>
      </w:r>
    </w:p>
    <w:p>
      <w:pPr>
        <w:pStyle w:val="Normal"/>
        <w:pBdr/>
        <w:spacing w:before="2" w:after="0"/>
        <w:rPr>
          <w:color w:val="000000"/>
          <w:sz w:val="28"/>
          <w:szCs w:val="28"/>
        </w:rPr>
      </w:pPr>
      <w:r>
        <w:rPr>
          <w:color w:val="000000"/>
          <w:sz w:val="28"/>
          <w:szCs w:val="28"/>
        </w:rPr>
      </w:r>
    </w:p>
    <w:p>
      <w:pPr>
        <w:pStyle w:val="Ttulo1"/>
        <w:numPr>
          <w:ilvl w:val="0"/>
          <w:numId w:val="3"/>
        </w:numPr>
        <w:tabs>
          <w:tab w:val="clear" w:pos="720"/>
          <w:tab w:val="left" w:pos="641" w:leader="none"/>
        </w:tabs>
        <w:spacing w:lineRule="auto" w:line="247"/>
        <w:ind w:left="641" w:right="1947" w:hanging="420"/>
        <w:rPr>
          <w:rFonts w:ascii="Lexend Light" w:hAnsi="Lexend Light" w:eastAsia="Lexend Light" w:cs="Lexend Light"/>
        </w:rPr>
      </w:pPr>
      <w:r>
        <w:rPr>
          <w:rFonts w:eastAsia="Lexend Light" w:cs="Lexend Light" w:ascii="Lexend Light" w:hAnsi="Lexend Light"/>
          <w:color w:val="2E5395"/>
        </w:rPr>
        <w:t>Asignación de recursos sobre el listado de proyectos elegibles</w:t>
      </w:r>
    </w:p>
    <w:p>
      <w:pPr>
        <w:pStyle w:val="Ttulo2"/>
        <w:numPr>
          <w:ilvl w:val="1"/>
          <w:numId w:val="3"/>
        </w:numPr>
        <w:tabs>
          <w:tab w:val="clear" w:pos="720"/>
          <w:tab w:val="left" w:pos="1015" w:leader="none"/>
          <w:tab w:val="left" w:pos="1016" w:leader="none"/>
        </w:tabs>
        <w:spacing w:before="237" w:after="0"/>
        <w:rPr>
          <w:rFonts w:ascii="Lexend Light" w:hAnsi="Lexend Light" w:eastAsia="Lexend Light" w:cs="Lexend Light"/>
        </w:rPr>
      </w:pPr>
      <w:r>
        <w:rPr>
          <w:rFonts w:eastAsia="Lexend Light" w:cs="Lexend Light" w:ascii="Lexend Light" w:hAnsi="Lexend Light"/>
          <w:color w:val="2E5395"/>
        </w:rPr>
        <w:t>¿Cómo se realiza la asignación de recursos?</w:t>
      </w:r>
    </w:p>
    <w:p>
      <w:pPr>
        <w:pStyle w:val="Normal"/>
        <w:pBdr/>
        <w:spacing w:before="3" w:after="0"/>
        <w:rPr>
          <w:rFonts w:ascii="Tahoma" w:hAnsi="Tahoma" w:eastAsia="Tahoma" w:cs="Tahoma"/>
          <w:b/>
          <w:b/>
          <w:color w:val="000000"/>
          <w:sz w:val="35"/>
          <w:szCs w:val="35"/>
        </w:rPr>
      </w:pPr>
      <w:r>
        <w:rPr>
          <w:rFonts w:eastAsia="Tahoma" w:cs="Tahoma" w:ascii="Tahoma" w:hAnsi="Tahoma"/>
          <w:b/>
          <w:color w:val="000000"/>
          <w:sz w:val="35"/>
          <w:szCs w:val="35"/>
        </w:rPr>
      </w:r>
    </w:p>
    <w:p>
      <w:pPr>
        <w:pStyle w:val="Normal"/>
        <w:pBdr/>
        <w:spacing w:lineRule="auto" w:line="367"/>
        <w:ind w:left="221" w:right="404" w:hanging="0"/>
        <w:jc w:val="both"/>
        <w:rPr>
          <w:rFonts w:ascii="Lexend Light" w:hAnsi="Lexend Light" w:eastAsia="Lexend Light" w:cs="Lexend Light"/>
          <w:color w:val="000000"/>
        </w:rPr>
      </w:pPr>
      <w:r>
        <w:rPr>
          <w:rFonts w:eastAsia="Lexend Light" w:cs="Lexend Light" w:ascii="Lexend Light" w:hAnsi="Lexend Light"/>
          <w:color w:val="000000"/>
        </w:rPr>
        <w:t>La asignación de recursos estará sujeta a las apropiaciones presupuestales que se aprueben y destinen para el PDAC en la vigencia ﬁscal 2025, tanto por la SCRD como por sus entidades adscritas y respetando los criterios deﬁnidos por el Comité de Fomento, que es la instancia encargada de realizar la asignación de recursos a los proyectos a apoyar.</w:t>
      </w:r>
    </w:p>
    <w:p>
      <w:pPr>
        <w:pStyle w:val="Normal"/>
        <w:pBdr/>
        <w:spacing w:lineRule="auto" w:line="367" w:before="204" w:after="0"/>
        <w:ind w:left="221" w:right="400" w:hanging="0"/>
        <w:jc w:val="both"/>
        <w:rPr>
          <w:rFonts w:ascii="Lexend Light" w:hAnsi="Lexend Light" w:eastAsia="Lexend Light" w:cs="Lexend Light"/>
          <w:color w:val="000000"/>
        </w:rPr>
      </w:pPr>
      <w:r>
        <w:rPr>
          <w:rFonts w:eastAsia="Lexend Light" w:cs="Lexend Light" w:ascii="Lexend Light" w:hAnsi="Lexend Light"/>
          <w:color w:val="000000"/>
        </w:rPr>
        <w:t>La distribución de los recursos se realizará partiendo del proyecto que haya obtenido el puntaje más alto por línea de participación y hasta agotar la bolsa que se haya destinado por la SCRD y sus entidades adscritas para esta modalidad. La distribución de recursos se hará proporcional al puntaje obtenido y en todo caso respetando los criterios deﬁnidos por el Comité de Fomento.</w:t>
      </w:r>
    </w:p>
    <w:p>
      <w:pPr>
        <w:pStyle w:val="Normal"/>
        <w:pBdr/>
        <w:spacing w:before="6" w:after="0"/>
        <w:rPr>
          <w:color w:val="000000"/>
          <w:sz w:val="17"/>
          <w:szCs w:val="17"/>
        </w:rPr>
      </w:pPr>
      <w:r>
        <w:rPr>
          <w:color w:val="000000"/>
          <w:sz w:val="17"/>
          <w:szCs w:val="17"/>
        </w:rPr>
      </w:r>
    </w:p>
    <w:p>
      <w:pPr>
        <w:pStyle w:val="Normal"/>
        <w:pBdr/>
        <w:spacing w:lineRule="auto" w:line="367" w:before="99" w:after="0"/>
        <w:ind w:left="221" w:right="402" w:hanging="0"/>
        <w:jc w:val="both"/>
        <w:rPr>
          <w:rFonts w:ascii="Lexend Light" w:hAnsi="Lexend Light" w:eastAsia="Lexend Light" w:cs="Lexend Light"/>
          <w:color w:val="000000"/>
        </w:rPr>
      </w:pPr>
      <w:r>
        <w:rPr>
          <w:rFonts w:eastAsia="Lexend Light" w:cs="Lexend Light" w:ascii="Lexend Light" w:hAnsi="Lexend Light"/>
          <w:color w:val="000000"/>
        </w:rPr>
        <w:t>En ningún caso, los recursos destinados a apoyar un proyecto en la modalidad de proyectos locales e interlocales, podrán superar el 3% del valor total de la bolsa disponible para esa modalidad.</w:t>
      </w:r>
    </w:p>
    <w:p>
      <w:pPr>
        <w:pStyle w:val="Normal"/>
        <w:pBdr/>
        <w:spacing w:lineRule="auto" w:line="367" w:before="242" w:after="0"/>
        <w:ind w:left="221" w:right="399" w:hanging="0"/>
        <w:jc w:val="both"/>
        <w:rPr/>
      </w:pPr>
      <w:r>
        <w:rPr>
          <w:rFonts w:eastAsia="Lexend Light" w:cs="Lexend Light" w:ascii="Lexend Light" w:hAnsi="Lexend Light"/>
          <w:color w:val="000000"/>
        </w:rPr>
        <w:t xml:space="preserve">Realizada la asignación presupuestal por parte del Comité de Fomento se publicará el </w:t>
      </w:r>
      <w:r>
        <w:rPr>
          <w:rFonts w:eastAsia="Lexend Light" w:cs="Lexend Light" w:ascii="Lexend Light" w:hAnsi="Lexend Light"/>
          <w:i/>
          <w:color w:val="000000"/>
        </w:rPr>
        <w:t xml:space="preserve">listado de proyectos con recursos asignados. </w:t>
      </w:r>
      <w:r>
        <w:rPr>
          <w:rFonts w:eastAsia="Lexend Light" w:cs="Lexend Light" w:ascii="Lexend Light" w:hAnsi="Lexend Light"/>
          <w:color w:val="000000"/>
        </w:rPr>
        <w:t xml:space="preserve">Las entidades participantes tendrán un plazo de tres (3) días hábiles luego de publicado el listado, para presentar observaciones o solicitar aclaraciones sobre el resultado, al correo </w:t>
      </w:r>
      <w:hyperlink r:id="rId27">
        <w:r>
          <w:rPr>
            <w:rStyle w:val="Style"/>
            <w:rFonts w:eastAsia="Lexend Light" w:cs="Lexend Light" w:ascii="Lexend Light" w:hAnsi="Lexend Light"/>
            <w:color w:val="0563C1"/>
            <w:u w:val="single"/>
          </w:rPr>
          <w:t>convocatorias@scrd.gov.co</w:t>
        </w:r>
      </w:hyperlink>
      <w:r>
        <w:rPr>
          <w:rFonts w:eastAsia="Lexend Light" w:cs="Lexend Light" w:ascii="Lexend Light" w:hAnsi="Lexend Light"/>
          <w:color w:val="000000"/>
        </w:rPr>
        <w:t>.</w:t>
      </w:r>
    </w:p>
    <w:p>
      <w:pPr>
        <w:pStyle w:val="Normal"/>
        <w:pBdr/>
        <w:spacing w:lineRule="auto" w:line="367" w:before="242" w:after="0"/>
        <w:ind w:left="221" w:right="399" w:hanging="0"/>
        <w:jc w:val="both"/>
        <w:rPr>
          <w:color w:val="000000"/>
        </w:rPr>
      </w:pPr>
      <w:r>
        <w:rPr>
          <w:rFonts w:eastAsia="Lexend Light" w:cs="Lexend Light" w:ascii="Lexend Light" w:hAnsi="Lexend Light"/>
          <w:b/>
          <w:color w:val="EC4ED0"/>
        </w:rPr>
        <w:t>Nota 1.</w:t>
      </w:r>
      <w:r>
        <w:rPr>
          <w:color w:val="EC4ED0"/>
        </w:rPr>
        <w:t xml:space="preserve"> </w:t>
      </w:r>
      <w:r>
        <w:rPr>
          <w:rFonts w:eastAsia="Lexend Light" w:cs="Lexend Light" w:ascii="Lexend Light" w:hAnsi="Lexend Light"/>
          <w:color w:val="000000"/>
        </w:rPr>
        <w:t>El resultado ﬁnal del proceso de evaluación realizado por la entidad designada para tal ﬁn y aprobado por el Comité de Fomento es inapelable y contra él no procede recurso por vía gubernativa.</w:t>
      </w:r>
    </w:p>
    <w:p>
      <w:pPr>
        <w:pStyle w:val="Normal"/>
        <w:spacing w:lineRule="auto" w:line="367" w:before="162" w:after="0"/>
        <w:ind w:left="221" w:right="400" w:hanging="0"/>
        <w:jc w:val="both"/>
        <w:rPr>
          <w:rFonts w:ascii="Lexend Light" w:hAnsi="Lexend Light" w:eastAsia="Lexend Light" w:cs="Lexend Light"/>
        </w:rPr>
      </w:pPr>
      <w:r>
        <w:rPr>
          <w:rFonts w:eastAsia="Lexend Light" w:cs="Lexend Light" w:ascii="Lexend Light" w:hAnsi="Lexend Light"/>
          <w:b/>
          <w:color w:val="EC4ED0"/>
        </w:rPr>
        <w:t>Nota 2.</w:t>
      </w:r>
      <w:r>
        <w:rPr>
          <w:color w:val="EC4ED0"/>
        </w:rPr>
        <w:t xml:space="preserve"> </w:t>
      </w:r>
      <w:r>
        <w:rPr>
          <w:rFonts w:eastAsia="Lexend Light" w:cs="Lexend Light" w:ascii="Lexend Light" w:hAnsi="Lexend Light"/>
        </w:rPr>
        <w:t xml:space="preserve">Es </w:t>
      </w:r>
      <w:r>
        <w:rPr>
          <w:rFonts w:eastAsia="Lexend Light" w:cs="Lexend Light" w:ascii="Lexend Light" w:hAnsi="Lexend Light"/>
          <w:b/>
          <w:color w:val="EC4ED0"/>
        </w:rPr>
        <w:t>MUY IMPORTANTE</w:t>
      </w:r>
      <w:r>
        <w:rPr>
          <w:rFonts w:eastAsia="Tahoma" w:cs="Tahoma" w:ascii="Tahoma" w:hAnsi="Tahoma"/>
          <w:b/>
          <w:color w:val="EC4ED0"/>
        </w:rPr>
        <w:t xml:space="preserve"> </w:t>
      </w:r>
      <w:r>
        <w:rPr>
          <w:rFonts w:eastAsia="Lexend Light" w:cs="Lexend Light" w:ascii="Lexend Light" w:hAnsi="Lexend Light"/>
        </w:rPr>
        <w:t xml:space="preserve">que las entidades cuyos proyectos hagan parte del listado de proyectos elegibles, tengan en cuenta que esto </w:t>
      </w:r>
      <w:r>
        <w:rPr>
          <w:rFonts w:eastAsia="Lexend Light" w:cs="Lexend Light" w:ascii="Lexend Light" w:hAnsi="Lexend Light"/>
          <w:color w:val="EC52C1"/>
        </w:rPr>
        <w:t>NO</w:t>
      </w:r>
      <w:r>
        <w:rPr>
          <w:color w:val="EC52C1"/>
        </w:rPr>
        <w:t xml:space="preserve"> </w:t>
      </w:r>
      <w:r>
        <w:rPr>
          <w:rFonts w:eastAsia="Lexend Light" w:cs="Lexend Light" w:ascii="Lexend Light" w:hAnsi="Lexend Light"/>
        </w:rPr>
        <w:t>garantiza su inclusión en el listado de proyectos con recursos asignados.</w:t>
      </w:r>
    </w:p>
    <w:p>
      <w:pPr>
        <w:pStyle w:val="Normal"/>
        <w:spacing w:lineRule="auto" w:line="367" w:before="162" w:after="0"/>
        <w:ind w:left="221" w:right="400" w:hanging="0"/>
        <w:jc w:val="both"/>
        <w:rPr>
          <w:rFonts w:ascii="Lexend Light" w:hAnsi="Lexend Light" w:eastAsia="Lexend Light" w:cs="Lexend Light"/>
        </w:rPr>
      </w:pPr>
      <w:r>
        <w:rPr>
          <w:rFonts w:eastAsia="Lexend Light" w:cs="Lexend Light" w:ascii="Lexend Light" w:hAnsi="Lexend Light"/>
          <w:b/>
          <w:color w:val="EC4ED0"/>
        </w:rPr>
        <w:t>Nota 3.</w:t>
      </w:r>
      <w:r>
        <w:rPr>
          <w:color w:val="EC4ED0"/>
        </w:rPr>
        <w:t xml:space="preserve"> </w:t>
      </w:r>
      <w:r>
        <w:rPr>
          <w:rFonts w:eastAsia="Lexend Light" w:cs="Lexend Light" w:ascii="Lexend Light" w:hAnsi="Lexend Light"/>
        </w:rPr>
        <w:t xml:space="preserve">En el caso de proyectos inscritos en la línea </w:t>
      </w:r>
      <w:r>
        <w:rPr>
          <w:rFonts w:eastAsia="Lexend Light" w:cs="Lexend Light" w:ascii="Lexend Light" w:hAnsi="Lexend Light"/>
          <w:i/>
        </w:rPr>
        <w:t>Procesos de producción y circulación de espectáculos de las artes escénicas. Recursos de la Contribución Parafiscal Cultural - Ley de Espectáculos Públicos-LEP</w:t>
      </w:r>
      <w:r>
        <w:rPr>
          <w:rFonts w:eastAsia="Lexend Light" w:cs="Lexend Light" w:ascii="Lexend Light" w:hAnsi="Lexend Light"/>
        </w:rPr>
        <w:t xml:space="preserve">, la asignación de recursos estará sujeta a aprobación por parte del Comité Distrital de la Contribución Parafiscal de los Espectáculos Públicos de las Artes Escénicas. Una vez aprobada, la organización deberá surtir el proceso de concertación y ajuste presupuestal de acuerdo con los recursos asignados, previo a que la SCRD proceda con el registro del proyecto en la plataforma PULEP, para su revisión y aprobación por parte del Ministerio de las Culturas, las Artes y los Saberes. Una vez surtido este proceso, la SCRD notificará la asignación o, de ser necesario, los ajustes requeridos. </w:t>
      </w:r>
    </w:p>
    <w:p>
      <w:pPr>
        <w:pStyle w:val="Normal"/>
        <w:spacing w:lineRule="auto" w:line="367" w:before="162" w:after="0"/>
        <w:ind w:left="221" w:right="400" w:hanging="0"/>
        <w:jc w:val="both"/>
        <w:rPr>
          <w:rFonts w:ascii="Lexend Light" w:hAnsi="Lexend Light" w:eastAsia="Lexend Light" w:cs="Lexend Light"/>
        </w:rPr>
      </w:pPr>
      <w:r>
        <w:rPr>
          <w:rFonts w:eastAsia="Lexend Light" w:cs="Lexend Light" w:ascii="Lexend Light" w:hAnsi="Lexend Light"/>
        </w:rPr>
      </w:r>
    </w:p>
    <w:p>
      <w:pPr>
        <w:pStyle w:val="Ttulo2"/>
        <w:numPr>
          <w:ilvl w:val="1"/>
          <w:numId w:val="3"/>
        </w:numPr>
        <w:tabs>
          <w:tab w:val="clear" w:pos="720"/>
          <w:tab w:val="left" w:pos="1016" w:leader="none"/>
        </w:tabs>
        <w:spacing w:lineRule="auto" w:line="247" w:before="163" w:after="0"/>
        <w:ind w:left="1016" w:right="411" w:hanging="735"/>
        <w:jc w:val="both"/>
        <w:rPr>
          <w:rFonts w:ascii="Lexend Light" w:hAnsi="Lexend Light" w:eastAsia="Lexend Light" w:cs="Lexend Light"/>
        </w:rPr>
      </w:pPr>
      <w:r>
        <w:rPr>
          <w:rFonts w:eastAsia="Lexend Light" w:cs="Lexend Light" w:ascii="Lexend Light" w:hAnsi="Lexend Light"/>
          <w:color w:val="2E5395"/>
        </w:rPr>
        <w:t>¿Cuáles son los criterios de desempate tenidos en cuenta durante el proceso de asignación de recursos?</w:t>
      </w:r>
    </w:p>
    <w:p>
      <w:pPr>
        <w:pStyle w:val="Normal"/>
        <w:pBdr/>
        <w:spacing w:lineRule="auto" w:line="367" w:before="236" w:after="0"/>
        <w:ind w:left="221" w:right="403" w:hanging="0"/>
        <w:jc w:val="both"/>
        <w:rPr>
          <w:rFonts w:ascii="Lexend Light" w:hAnsi="Lexend Light" w:eastAsia="Lexend Light" w:cs="Lexend Light"/>
          <w:color w:val="000000"/>
        </w:rPr>
      </w:pPr>
      <w:r>
        <w:rPr>
          <w:rFonts w:eastAsia="Lexend Light" w:cs="Lexend Light" w:ascii="Lexend Light" w:hAnsi="Lexend Light"/>
          <w:color w:val="000000"/>
        </w:rPr>
        <w:t>En caso de presentarse un empate entre dos o más proyectos, se seleccionará aquel que haya obtenido mayor puntaje en el criterio de impacto, de persistir el empate se recurrirá al criterio de viabilidad del proyecto.</w:t>
      </w:r>
    </w:p>
    <w:p>
      <w:pPr>
        <w:pStyle w:val="Ttulo2"/>
        <w:numPr>
          <w:ilvl w:val="1"/>
          <w:numId w:val="3"/>
        </w:numPr>
        <w:tabs>
          <w:tab w:val="clear" w:pos="720"/>
          <w:tab w:val="left" w:pos="1016" w:leader="none"/>
        </w:tabs>
        <w:spacing w:lineRule="auto" w:line="247" w:before="164" w:after="0"/>
        <w:ind w:left="1016" w:right="400" w:hanging="735"/>
        <w:jc w:val="both"/>
        <w:rPr>
          <w:rFonts w:ascii="Lexend Light" w:hAnsi="Lexend Light" w:eastAsia="Lexend Light" w:cs="Lexend Light"/>
        </w:rPr>
      </w:pPr>
      <w:r>
        <w:rPr>
          <w:rFonts w:eastAsia="Lexend Light" w:cs="Lexend Light" w:ascii="Lexend Light" w:hAnsi="Lexend Light"/>
          <w:color w:val="2E5395"/>
        </w:rPr>
        <w:t>¿En qué consiste la veriﬁcación de inhabilidades e incompatibilidades de las entidades con proyectos con recursos asignados?</w:t>
      </w:r>
    </w:p>
    <w:p>
      <w:pPr>
        <w:pStyle w:val="Normal"/>
        <w:pBdr/>
        <w:spacing w:lineRule="auto" w:line="367" w:before="236" w:after="0"/>
        <w:ind w:left="221" w:right="403" w:hanging="0"/>
        <w:jc w:val="both"/>
        <w:rPr>
          <w:color w:val="000000"/>
        </w:rPr>
      </w:pPr>
      <w:r>
        <w:rPr>
          <w:rFonts w:eastAsia="Lexend Light" w:cs="Lexend Light" w:ascii="Lexend Light" w:hAnsi="Lexend Light"/>
          <w:color w:val="000000"/>
        </w:rPr>
        <w:t xml:space="preserve">La SCRD o sus entidades adscritas realizarán la veriﬁcación de restricciones de participación, inhabilidades e incompatibilidades de las entidades cuyos proyectos hayan sido incluidos en el </w:t>
      </w:r>
      <w:r>
        <w:rPr>
          <w:rFonts w:eastAsia="Lexend Light" w:cs="Lexend Light" w:ascii="Lexend Light" w:hAnsi="Lexend Light"/>
          <w:i/>
          <w:color w:val="000000"/>
        </w:rPr>
        <w:t>listado de proyectos con recursos asignados</w:t>
      </w:r>
      <w:r>
        <w:rPr>
          <w:rFonts w:eastAsia="Lexend Light" w:cs="Lexend Light" w:ascii="Lexend Light" w:hAnsi="Lexend Light"/>
          <w:color w:val="000000"/>
        </w:rPr>
        <w:t>. De encontrarse alguna causal de rechazo la entidad será reemplazada por la que haya obtenido el puntaje siguiente en orden de elegibilidad.</w:t>
      </w:r>
    </w:p>
    <w:p>
      <w:pPr>
        <w:sectPr>
          <w:headerReference w:type="default" r:id="rId28"/>
          <w:footerReference w:type="default" r:id="rId29"/>
          <w:type w:val="nextPage"/>
          <w:pgSz w:w="12240" w:h="15840"/>
          <w:pgMar w:left="1480" w:right="1300" w:header="30" w:top="1500" w:footer="1701" w:bottom="1980" w:gutter="0"/>
          <w:pgNumType w:fmt="decimal"/>
          <w:formProt w:val="false"/>
          <w:textDirection w:val="lrTb"/>
          <w:docGrid w:type="default" w:linePitch="100" w:charSpace="4096"/>
        </w:sectPr>
        <w:pStyle w:val="Normal"/>
        <w:pBdr/>
        <w:spacing w:lineRule="auto" w:line="367" w:before="162" w:after="0"/>
        <w:ind w:left="221" w:right="401" w:hanging="0"/>
        <w:jc w:val="both"/>
        <w:rPr>
          <w:rFonts w:ascii="Lexend Light" w:hAnsi="Lexend Light" w:eastAsia="Lexend Light" w:cs="Lexend Light"/>
          <w:color w:val="000000"/>
        </w:rPr>
      </w:pPr>
      <w:r>
        <w:rPr>
          <w:rFonts w:eastAsia="Lexend Light" w:cs="Lexend Light" w:ascii="Lexend Light" w:hAnsi="Lexend Light"/>
          <w:color w:val="EC4ED0"/>
        </w:rPr>
        <w:t>Nota.</w:t>
      </w:r>
      <w:r>
        <w:rPr>
          <w:color w:val="EC4ED0"/>
        </w:rPr>
        <w:t xml:space="preserve"> </w:t>
      </w:r>
      <w:r>
        <w:rPr>
          <w:rFonts w:eastAsia="Lexend Light" w:cs="Lexend Light" w:ascii="Lexend Light" w:hAnsi="Lexend Light"/>
          <w:color w:val="000000"/>
        </w:rPr>
        <w:t xml:space="preserve">En cualquier etapa del proceso se podrá retirar a una entidad participante, de comprobarse que presenta alguna restricción de participación, inhabilidad o incompatibilidad, lo cual se hace extensivo a los </w:t>
      </w:r>
      <w:r>
        <w:rPr>
          <w:rFonts w:eastAsia="Lexend Light" w:cs="Lexend Light" w:ascii="Lexend Light" w:hAnsi="Lexend Light"/>
        </w:rPr>
        <w:t xml:space="preserve">integrantes </w:t>
      </w:r>
      <w:r>
        <w:rPr>
          <w:rFonts w:eastAsia="Lexend Light" w:cs="Lexend Light" w:ascii="Lexend Light" w:hAnsi="Lexend Light"/>
          <w:color w:val="000000"/>
        </w:rPr>
        <w:t>de su junta directiva y a su representante legal</w:t>
      </w:r>
      <w:r>
        <w:rPr>
          <w:rFonts w:eastAsia="Lexend Light" w:cs="Lexend Light" w:ascii="Lexend Light" w:hAnsi="Lexend Light"/>
        </w:rPr>
        <w:t>.</w:t>
      </w:r>
    </w:p>
    <w:p>
      <w:pPr>
        <w:pStyle w:val="Ttulo1"/>
        <w:numPr>
          <w:ilvl w:val="0"/>
          <w:numId w:val="3"/>
        </w:numPr>
        <w:tabs>
          <w:tab w:val="clear" w:pos="720"/>
          <w:tab w:val="left" w:pos="641" w:leader="none"/>
          <w:tab w:val="left" w:pos="2188" w:leader="none"/>
          <w:tab w:val="left" w:pos="3227" w:leader="none"/>
          <w:tab w:val="left" w:pos="3784" w:leader="none"/>
          <w:tab w:val="left" w:pos="5876" w:leader="none"/>
          <w:tab w:val="left" w:pos="6327" w:leader="none"/>
          <w:tab w:val="left" w:pos="8551" w:leader="none"/>
        </w:tabs>
        <w:spacing w:lineRule="auto" w:line="247"/>
        <w:ind w:left="641" w:right="411" w:hanging="420"/>
        <w:rPr>
          <w:rFonts w:ascii="Lexend Light" w:hAnsi="Lexend Light" w:eastAsia="Lexend Light" w:cs="Lexend Light"/>
        </w:rPr>
      </w:pPr>
      <w:r>
        <w:rPr>
          <w:rFonts w:eastAsia="Lexend Light" w:cs="Lexend Light" w:ascii="Lexend Light" w:hAnsi="Lexend Light"/>
          <w:color w:val="2E5395"/>
        </w:rPr>
        <w:t>Proceso</w:t>
        <w:tab/>
        <w:t>para</w:t>
        <w:tab/>
        <w:t>la</w:t>
        <w:tab/>
        <w:t>suscripción</w:t>
        <w:tab/>
        <w:t>y</w:t>
        <w:tab/>
        <w:t>legalización</w:t>
        <w:tab/>
        <w:t>del contrato con la entidad que acepta el apoyo</w:t>
      </w:r>
    </w:p>
    <w:p>
      <w:pPr>
        <w:pStyle w:val="Ttulo2"/>
        <w:numPr>
          <w:ilvl w:val="1"/>
          <w:numId w:val="3"/>
        </w:numPr>
        <w:tabs>
          <w:tab w:val="clear" w:pos="720"/>
          <w:tab w:val="left" w:pos="1121" w:leader="none"/>
        </w:tabs>
        <w:spacing w:lineRule="auto" w:line="247" w:before="237" w:after="0"/>
        <w:ind w:left="1016" w:right="402" w:hanging="435"/>
        <w:rPr>
          <w:rFonts w:ascii="Lexend Light" w:hAnsi="Lexend Light" w:eastAsia="Lexend Light" w:cs="Lexend Light"/>
        </w:rPr>
      </w:pPr>
      <w:r>
        <w:rPr>
          <w:rFonts w:eastAsia="Lexend Light" w:cs="Lexend Light" w:ascii="Lexend Light" w:hAnsi="Lexend Light"/>
          <w:color w:val="2E5395"/>
        </w:rPr>
        <w:t>¿Cuál será el tiempo de ejecución de los proyectos con recursos asignados?</w:t>
      </w:r>
    </w:p>
    <w:p>
      <w:pPr>
        <w:pStyle w:val="Normal"/>
        <w:pBdr/>
        <w:spacing w:lineRule="auto" w:line="367" w:before="196" w:after="0"/>
        <w:ind w:left="221" w:right="401" w:hanging="0"/>
        <w:jc w:val="both"/>
        <w:rPr>
          <w:rFonts w:ascii="Lexend Light" w:hAnsi="Lexend Light" w:eastAsia="Lexend Light" w:cs="Lexend Light"/>
          <w:color w:val="000000"/>
        </w:rPr>
      </w:pPr>
      <w:r>
        <w:rPr>
          <w:rFonts w:eastAsia="Lexend Light" w:cs="Lexend Light" w:ascii="Lexend Light" w:hAnsi="Lexend Light"/>
          <w:color w:val="000000"/>
        </w:rPr>
        <w:t xml:space="preserve">La convocatoria 2025 del PDAC en su modalidad proyectos locales e interlocales, apoyará la ejecución de proyectos cuyas actividades se lleven a cabo entre el </w:t>
      </w:r>
      <w:r>
        <w:rPr>
          <w:rFonts w:eastAsia="Lexend" w:cs="Lexend" w:ascii="Lexend" w:hAnsi="Lexend"/>
          <w:b/>
        </w:rPr>
        <w:t xml:space="preserve">01 </w:t>
      </w:r>
      <w:r>
        <w:rPr>
          <w:rFonts w:eastAsia="Lexend" w:cs="Lexend" w:ascii="Lexend" w:hAnsi="Lexend"/>
          <w:b/>
          <w:color w:val="000000"/>
        </w:rPr>
        <w:t>de mayo</w:t>
      </w:r>
      <w:r>
        <w:rPr>
          <w:rFonts w:eastAsia="Lexend Light" w:cs="Lexend Light" w:ascii="Lexend Light" w:hAnsi="Lexend Light"/>
          <w:color w:val="000000"/>
        </w:rPr>
        <w:t xml:space="preserve"> y máximo, si el proyecto así lo requiere, el </w:t>
      </w:r>
      <w:r>
        <w:rPr>
          <w:rFonts w:eastAsia="Lexend" w:cs="Lexend" w:ascii="Lexend" w:hAnsi="Lexend"/>
          <w:b/>
          <w:color w:val="000000"/>
        </w:rPr>
        <w:t>15 de diciembre de 2025</w:t>
      </w:r>
      <w:r>
        <w:rPr>
          <w:rFonts w:eastAsia="Lexend Light" w:cs="Lexend Light" w:ascii="Lexend Light" w:hAnsi="Lexend Light"/>
          <w:color w:val="000000"/>
        </w:rPr>
        <w:t>. De este modo, al establecer la duración del proyecto en función del logro de sus objetivos, la entidad participante debe tener en cuenta que las actividades incluidas en el cronograma se formulen dentro de estas fechas.</w:t>
      </w:r>
    </w:p>
    <w:p>
      <w:pPr>
        <w:pStyle w:val="Normal"/>
        <w:pBdr/>
        <w:spacing w:lineRule="auto" w:line="367" w:before="204" w:after="0"/>
        <w:ind w:left="221" w:right="402" w:hanging="0"/>
        <w:jc w:val="both"/>
        <w:rPr>
          <w:rFonts w:ascii="Lexend Light" w:hAnsi="Lexend Light" w:eastAsia="Lexend Light" w:cs="Lexend Light"/>
          <w:color w:val="000000"/>
        </w:rPr>
      </w:pPr>
      <w:r>
        <w:rPr>
          <w:rFonts w:eastAsia="Lexend Light" w:cs="Lexend Light" w:ascii="Lexend Light" w:hAnsi="Lexend Light"/>
          <w:color w:val="000000"/>
        </w:rPr>
        <w:t>No obstante, una vez asignados y aceptados los recursos de apoyo, la fecha de inicio de ejecución del contrato será la de su legalización, una vez surtidos los respectivos trámites para su perfeccionamiento.</w:t>
      </w:r>
    </w:p>
    <w:p>
      <w:pPr>
        <w:pStyle w:val="Normal"/>
        <w:pBdr/>
        <w:spacing w:lineRule="auto" w:line="367" w:before="99" w:after="0"/>
        <w:ind w:left="221" w:right="402" w:hanging="0"/>
        <w:jc w:val="both"/>
        <w:rPr>
          <w:rFonts w:ascii="Lexend Light" w:hAnsi="Lexend Light" w:eastAsia="Lexend Light" w:cs="Lexend Light"/>
          <w:color w:val="000000"/>
        </w:rPr>
      </w:pPr>
      <w:r>
        <w:rPr>
          <w:rFonts w:eastAsia="Lexend Light" w:cs="Lexend Light" w:ascii="Lexend Light" w:hAnsi="Lexend Light"/>
          <w:color w:val="EC52C1"/>
        </w:rPr>
        <w:t>Nota.</w:t>
      </w:r>
      <w:r>
        <w:rPr>
          <w:color w:val="EC52C1"/>
        </w:rPr>
        <w:t xml:space="preserve"> </w:t>
      </w:r>
      <w:r>
        <w:rPr>
          <w:rFonts w:eastAsia="Lexend Light" w:cs="Lexend Light" w:ascii="Lexend Light" w:hAnsi="Lexend Light"/>
          <w:color w:val="000000"/>
        </w:rPr>
        <w:t>El tiempo de ejecución no incluye las actividades relacionadas con la presentación de informe ﬁnal de ejecución o el de trámites relacionados con el último desembolso</w:t>
      </w:r>
      <w:r>
        <w:rPr>
          <w:rFonts w:eastAsia="Lexend Light" w:cs="Lexend Light" w:ascii="Lexend Light" w:hAnsi="Lexend Light"/>
        </w:rPr>
        <w:t xml:space="preserve"> </w:t>
      </w:r>
      <w:r>
        <w:rPr>
          <w:rFonts w:eastAsia="Lexend Light" w:cs="Lexend Light" w:ascii="Lexend Light" w:hAnsi="Lexend Light"/>
          <w:color w:val="000000"/>
        </w:rPr>
        <w:t>y la liquidación del contrato.</w:t>
      </w:r>
    </w:p>
    <w:p>
      <w:pPr>
        <w:pStyle w:val="Normal"/>
        <w:pBdr/>
        <w:spacing w:lineRule="auto" w:line="367" w:before="99" w:after="0"/>
        <w:ind w:left="221" w:right="402" w:hanging="0"/>
        <w:jc w:val="both"/>
        <w:rPr>
          <w:color w:val="000000"/>
        </w:rPr>
      </w:pPr>
      <w:r>
        <w:rPr>
          <w:color w:val="000000"/>
        </w:rPr>
      </w:r>
    </w:p>
    <w:p>
      <w:pPr>
        <w:pStyle w:val="Ttulo2"/>
        <w:numPr>
          <w:ilvl w:val="1"/>
          <w:numId w:val="3"/>
        </w:numPr>
        <w:tabs>
          <w:tab w:val="clear" w:pos="720"/>
          <w:tab w:val="left" w:pos="1016" w:leader="none"/>
        </w:tabs>
        <w:spacing w:before="163" w:after="0"/>
        <w:ind w:left="1016" w:hanging="435"/>
        <w:rPr>
          <w:rFonts w:ascii="Lexend Light" w:hAnsi="Lexend Light" w:eastAsia="Lexend Light" w:cs="Lexend Light"/>
        </w:rPr>
      </w:pPr>
      <w:r>
        <w:rPr>
          <w:rFonts w:eastAsia="Lexend Light" w:cs="Lexend Light" w:ascii="Lexend Light" w:hAnsi="Lexend Light"/>
          <w:color w:val="2E5395"/>
        </w:rPr>
        <w:t>¿Cómo se acepta el apoyo asignado?</w:t>
      </w:r>
    </w:p>
    <w:p>
      <w:pPr>
        <w:pStyle w:val="Normal"/>
        <w:pBdr/>
        <w:spacing w:before="4" w:after="0"/>
        <w:rPr>
          <w:rFonts w:ascii="Tahoma" w:hAnsi="Tahoma" w:eastAsia="Tahoma" w:cs="Tahoma"/>
          <w:b/>
          <w:b/>
          <w:color w:val="000000"/>
          <w:sz w:val="35"/>
          <w:szCs w:val="35"/>
        </w:rPr>
      </w:pPr>
      <w:r>
        <w:rPr>
          <w:rFonts w:eastAsia="Tahoma" w:cs="Tahoma" w:ascii="Tahoma" w:hAnsi="Tahoma"/>
          <w:b/>
          <w:color w:val="000000"/>
          <w:sz w:val="35"/>
          <w:szCs w:val="35"/>
        </w:rPr>
      </w:r>
    </w:p>
    <w:p>
      <w:pPr>
        <w:pStyle w:val="Normal"/>
        <w:pBdr/>
        <w:spacing w:lineRule="auto" w:line="367"/>
        <w:ind w:left="221" w:right="399" w:hanging="0"/>
        <w:jc w:val="both"/>
        <w:rPr>
          <w:rFonts w:ascii="Lexend Light" w:hAnsi="Lexend Light" w:eastAsia="Lexend Light" w:cs="Lexend Light"/>
          <w:color w:val="000000"/>
        </w:rPr>
      </w:pPr>
      <w:r>
        <w:rPr>
          <w:rFonts w:eastAsia="Lexend Light" w:cs="Lexend Light" w:ascii="Lexend Light" w:hAnsi="Lexend Light"/>
          <w:color w:val="000000"/>
        </w:rPr>
        <w:t xml:space="preserve">Si el proyecto de la entidad participante fue incluido en el </w:t>
      </w:r>
      <w:r>
        <w:rPr>
          <w:rFonts w:eastAsia="Lexend Light" w:cs="Lexend Light" w:ascii="Lexend Light" w:hAnsi="Lexend Light"/>
          <w:i/>
          <w:color w:val="000000"/>
        </w:rPr>
        <w:t>listado de proyectos con recursos asignados</w:t>
      </w:r>
      <w:r>
        <w:rPr>
          <w:rFonts w:eastAsia="Lexend Light" w:cs="Lexend Light" w:ascii="Lexend Light" w:hAnsi="Lexend Light"/>
          <w:color w:val="000000"/>
        </w:rPr>
        <w:t xml:space="preserve">, la SCRD enviará a su representante legal una comunicación vía correo electrónico informando el valor de la asignación y el nombre de la entidad del sector </w:t>
      </w:r>
      <w:r>
        <w:rPr>
          <w:rFonts w:eastAsia="Lexend Light" w:cs="Lexend Light" w:ascii="Lexend Light" w:hAnsi="Lexend Light"/>
        </w:rPr>
        <w:t>c</w:t>
      </w:r>
      <w:r>
        <w:rPr>
          <w:rFonts w:eastAsia="Lexend Light" w:cs="Lexend Light" w:ascii="Lexend Light" w:hAnsi="Lexend Light"/>
          <w:color w:val="000000"/>
        </w:rPr>
        <w:t xml:space="preserve">ultura que otorgó el apoyo y que en adelante se encargará de la suscripción y supervisión a la ejecución del contrato con esta. Adicionalmente, en la comunicación se informará a la entidad, que cuenta con </w:t>
      </w:r>
      <w:r>
        <w:rPr>
          <w:rFonts w:eastAsia="Lexend" w:cs="Lexend" w:ascii="Lexend" w:hAnsi="Lexend"/>
          <w:b/>
          <w:color w:val="000000"/>
        </w:rPr>
        <w:t>cinco (5) días hábiles</w:t>
      </w:r>
      <w:r>
        <w:rPr>
          <w:rFonts w:eastAsia="Lexend Light" w:cs="Lexend Light" w:ascii="Lexend Light" w:hAnsi="Lexend Light"/>
          <w:color w:val="000000"/>
        </w:rPr>
        <w:t>, contados a partir de la fecha de publicación de la asignación presupuestal, para dar respuesta manifestando expresamente la aceptación o no del apoyo.</w:t>
      </w:r>
    </w:p>
    <w:p>
      <w:pPr>
        <w:pStyle w:val="Normal"/>
        <w:pBdr/>
        <w:spacing w:lineRule="auto" w:line="367" w:before="166" w:after="0"/>
        <w:ind w:left="221" w:right="400" w:hanging="0"/>
        <w:jc w:val="both"/>
        <w:rPr>
          <w:rFonts w:ascii="Lexend Light" w:hAnsi="Lexend Light" w:eastAsia="Lexend Light" w:cs="Lexend Light"/>
          <w:color w:val="000000"/>
        </w:rPr>
      </w:pPr>
      <w:r>
        <w:rPr>
          <w:rFonts w:eastAsia="Lexend Light" w:cs="Lexend Light" w:ascii="Lexend Light" w:hAnsi="Lexend Light"/>
          <w:color w:val="000000"/>
        </w:rPr>
        <w:t>En caso que la entidad con recursos asignados no comunique la aceptación dentro del plazo establecido, se entenderá que desiste del apoyo.</w:t>
      </w:r>
    </w:p>
    <w:p>
      <w:pPr>
        <w:pStyle w:val="Ttulo2"/>
        <w:numPr>
          <w:ilvl w:val="1"/>
          <w:numId w:val="3"/>
        </w:numPr>
        <w:tabs>
          <w:tab w:val="clear" w:pos="720"/>
          <w:tab w:val="left" w:pos="1300" w:leader="none"/>
          <w:tab w:val="left" w:pos="1301" w:leader="none"/>
          <w:tab w:val="left" w:pos="2033" w:leader="none"/>
          <w:tab w:val="left" w:pos="2785" w:leader="none"/>
          <w:tab w:val="left" w:pos="4160" w:leader="none"/>
          <w:tab w:val="left" w:pos="4634" w:leader="none"/>
          <w:tab w:val="left" w:pos="5977" w:leader="none"/>
          <w:tab w:val="left" w:pos="6549" w:leader="none"/>
          <w:tab w:val="left" w:pos="8626" w:leader="none"/>
        </w:tabs>
        <w:spacing w:lineRule="auto" w:line="247" w:before="162" w:after="0"/>
        <w:ind w:left="1016" w:right="399" w:hanging="435"/>
        <w:rPr>
          <w:rFonts w:ascii="Lexend Light" w:hAnsi="Lexend Light" w:eastAsia="Lexend Light" w:cs="Lexend Light"/>
        </w:rPr>
      </w:pPr>
      <w:r>
        <w:rPr>
          <w:rFonts w:eastAsia="Lexend Light" w:cs="Lexend Light" w:ascii="Lexend Light" w:hAnsi="Lexend Light"/>
          <w:color w:val="2E5395"/>
        </w:rPr>
        <w:t>¿En</w:t>
        <w:tab/>
        <w:t>qué</w:t>
        <w:tab/>
        <w:t>consiste</w:t>
        <w:tab/>
        <w:t>el</w:t>
        <w:tab/>
        <w:t>proceso</w:t>
        <w:tab/>
        <w:t>de</w:t>
        <w:tab/>
        <w:t>concertación</w:t>
        <w:tab/>
        <w:t>del presupuesto del proyecto con recursos asignados?</w:t>
      </w:r>
    </w:p>
    <w:p>
      <w:pPr>
        <w:pStyle w:val="Normal"/>
        <w:pBdr/>
        <w:spacing w:lineRule="auto" w:line="367" w:before="236" w:after="0"/>
        <w:ind w:left="221" w:right="400" w:hanging="0"/>
        <w:jc w:val="both"/>
        <w:rPr>
          <w:rFonts w:ascii="Lexend Light" w:hAnsi="Lexend Light" w:eastAsia="Lexend Light" w:cs="Lexend Light"/>
          <w:color w:val="000000"/>
        </w:rPr>
      </w:pPr>
      <w:r>
        <w:rPr>
          <w:rFonts w:eastAsia="Lexend Light" w:cs="Lexend Light" w:ascii="Lexend Light" w:hAnsi="Lexend Light"/>
          <w:color w:val="000000"/>
        </w:rPr>
        <w:t>Si la entidad a cuyo proyecto se le asignaron recursos acepta la asignación presupuestal otorgada, la entidad otorgante del apoyo enviará a su representante legal una comunicación vía correo electrónico citando a la reunión de concertación del presupuesto del proyecto. A esta reunión, deberá asistir el representante legal de la entidad o su delegado debidamente autorizado, llevando para su revisión conjunta y aprobación concertada:</w:t>
      </w:r>
    </w:p>
    <w:p>
      <w:pPr>
        <w:pStyle w:val="Normal"/>
        <w:pBdr/>
        <w:spacing w:before="11" w:after="0"/>
        <w:rPr>
          <w:color w:val="000000"/>
          <w:sz w:val="17"/>
          <w:szCs w:val="17"/>
        </w:rPr>
      </w:pPr>
      <w:r>
        <w:rPr>
          <w:color w:val="000000"/>
          <w:sz w:val="17"/>
          <w:szCs w:val="17"/>
        </w:rPr>
      </w:r>
    </w:p>
    <w:p>
      <w:pPr>
        <w:pStyle w:val="Normal"/>
        <w:numPr>
          <w:ilvl w:val="0"/>
          <w:numId w:val="1"/>
        </w:numPr>
        <w:pBdr/>
        <w:tabs>
          <w:tab w:val="clear" w:pos="720"/>
          <w:tab w:val="left" w:pos="581" w:leader="none"/>
        </w:tabs>
        <w:spacing w:lineRule="auto" w:line="364" w:before="95" w:after="0"/>
        <w:ind w:left="581" w:right="404" w:hanging="360"/>
        <w:jc w:val="both"/>
        <w:rPr>
          <w:rFonts w:ascii="Lexend Light" w:hAnsi="Lexend Light" w:eastAsia="Lexend Light" w:cs="Lexend Light"/>
          <w:color w:val="000000"/>
        </w:rPr>
      </w:pPr>
      <w:r>
        <w:rPr>
          <w:rFonts w:eastAsia="Lexend Light" w:cs="Lexend Light" w:ascii="Lexend Light" w:hAnsi="Lexend Light"/>
          <w:color w:val="000000"/>
        </w:rPr>
        <w:t>La relación de acciones, en el formato deﬁnido para tal ﬁn, mediante las cuales se propone acoger las recomendaciones de ajuste o mejora que la entidad evaluadora realizó al proyecto, s</w:t>
      </w:r>
      <w:r>
        <w:rPr>
          <w:rFonts w:eastAsia="Lexend Light" w:cs="Lexend Light" w:ascii="Lexend Light" w:hAnsi="Lexend Light"/>
        </w:rPr>
        <w:t>i</w:t>
      </w:r>
      <w:r>
        <w:rPr>
          <w:rFonts w:eastAsia="Lexend Light" w:cs="Lexend Light" w:ascii="Lexend Light" w:hAnsi="Lexend Light"/>
          <w:color w:val="000000"/>
        </w:rPr>
        <w:t xml:space="preserve"> a ello hubo lug</w:t>
      </w:r>
      <w:r>
        <w:rPr>
          <w:rFonts w:eastAsia="Lexend Light" w:cs="Lexend Light" w:ascii="Lexend Light" w:hAnsi="Lexend Light"/>
        </w:rPr>
        <w:t>ar</w:t>
      </w:r>
      <w:r>
        <w:rPr>
          <w:rFonts w:eastAsia="Lexend Light" w:cs="Lexend Light" w:ascii="Lexend Light" w:hAnsi="Lexend Light"/>
          <w:color w:val="000000"/>
        </w:rPr>
        <w:t>.</w:t>
      </w:r>
    </w:p>
    <w:p>
      <w:pPr>
        <w:pStyle w:val="Normal"/>
        <w:numPr>
          <w:ilvl w:val="0"/>
          <w:numId w:val="1"/>
        </w:numPr>
        <w:pBdr/>
        <w:tabs>
          <w:tab w:val="clear" w:pos="720"/>
          <w:tab w:val="left" w:pos="581" w:leader="none"/>
        </w:tabs>
        <w:spacing w:lineRule="auto" w:line="364" w:before="95" w:after="0"/>
        <w:ind w:left="581" w:right="404" w:hanging="360"/>
        <w:jc w:val="both"/>
        <w:rPr>
          <w:rFonts w:ascii="Lexend Light" w:hAnsi="Lexend Light" w:eastAsia="Lexend Light" w:cs="Lexend Light"/>
          <w:color w:val="000000"/>
        </w:rPr>
      </w:pPr>
      <w:r>
        <w:rPr>
          <w:rFonts w:eastAsia="Lexend Light" w:cs="Lexend Light" w:ascii="Lexend Light" w:hAnsi="Lexend Light"/>
          <w:color w:val="000000"/>
        </w:rPr>
        <w:t>La propuesta de ajuste al presupuesto del proyecto, teniendo en cuenta que se podrán ajustar sus metas y actividades en proporción a la asignación presupuestal otorgada, siempre y cuando no se afecten ni se modiﬁquen los objetivos (general y especíﬁcos) del proyecto.</w:t>
      </w:r>
    </w:p>
    <w:p>
      <w:pPr>
        <w:pStyle w:val="Normal"/>
        <w:pBdr/>
        <w:spacing w:lineRule="auto" w:line="367" w:before="243" w:after="0"/>
        <w:ind w:left="221" w:right="403" w:hanging="0"/>
        <w:jc w:val="both"/>
        <w:rPr>
          <w:color w:val="000000"/>
        </w:rPr>
      </w:pPr>
      <w:r>
        <w:rPr>
          <w:rFonts w:eastAsia="Lexend Light" w:cs="Lexend Light" w:ascii="Lexend Light" w:hAnsi="Lexend Light"/>
          <w:color w:val="EC4ED0"/>
        </w:rPr>
        <w:t>Nota.</w:t>
      </w:r>
      <w:r>
        <w:rPr>
          <w:color w:val="EC4ED0"/>
        </w:rPr>
        <w:t xml:space="preserve"> </w:t>
      </w:r>
      <w:r>
        <w:rPr>
          <w:rFonts w:eastAsia="Lexend Light" w:cs="Lexend Light" w:ascii="Lexend Light" w:hAnsi="Lexend Light"/>
          <w:color w:val="000000"/>
        </w:rPr>
        <w:t>Las entidades con recursos asignados podrán ajustar el presupuesto del proyecto de acuerdo con la asignación realizada por el Comité de Fomento, manteniendo la distribución porcentual de hasta el 70% del valor total del proyecto, con cargo a los recursos del apoyo recibido y de contrapartida o gestión con otras entidades o recursos propios, de mínimo un 30%.</w:t>
      </w:r>
    </w:p>
    <w:p>
      <w:pPr>
        <w:pStyle w:val="Ttulo2"/>
        <w:numPr>
          <w:ilvl w:val="1"/>
          <w:numId w:val="3"/>
        </w:numPr>
        <w:tabs>
          <w:tab w:val="clear" w:pos="720"/>
          <w:tab w:val="left" w:pos="1301" w:leader="none"/>
        </w:tabs>
        <w:spacing w:lineRule="auto" w:line="247" w:before="164" w:after="0"/>
        <w:ind w:left="1016" w:right="406" w:hanging="435"/>
        <w:jc w:val="both"/>
        <w:rPr>
          <w:rFonts w:ascii="Lexend Light" w:hAnsi="Lexend Light" w:eastAsia="Lexend Light" w:cs="Lexend Light"/>
        </w:rPr>
      </w:pPr>
      <w:r>
        <w:rPr>
          <w:rFonts w:eastAsia="Lexend Light" w:cs="Lexend Light" w:ascii="Lexend Light" w:hAnsi="Lexend Light"/>
          <w:color w:val="2E5395"/>
        </w:rPr>
        <w:t>¿En qué consiste el proceso de suscripción y legalización del contrato con la entidad que acepta el apoyo?</w:t>
      </w:r>
    </w:p>
    <w:p>
      <w:pPr>
        <w:pStyle w:val="Normal"/>
        <w:pBdr/>
        <w:spacing w:lineRule="auto" w:line="367" w:before="195" w:after="0"/>
        <w:ind w:left="221" w:right="402" w:hanging="0"/>
        <w:jc w:val="both"/>
        <w:rPr>
          <w:rFonts w:ascii="Lexend Light" w:hAnsi="Lexend Light" w:eastAsia="Lexend Light" w:cs="Lexend Light"/>
          <w:color w:val="000000"/>
        </w:rPr>
      </w:pPr>
      <w:r>
        <w:rPr>
          <w:rFonts w:eastAsia="Lexend Light" w:cs="Lexend Light" w:ascii="Lexend Light" w:hAnsi="Lexend Light"/>
          <w:color w:val="000000"/>
        </w:rPr>
        <w:t xml:space="preserve">Una vez concertado el presupuesto del proyecto y las acciones para acoger las recomendaciones de la entidad evaluadora, la entidad otorgante del apoyo enviará al representante legal de la entidad que aceptó el apoyo, una comunicación solicitando los documentos para la suscripción del contrato. En la comunicación se indicará que la entidad debe remitir estos documentos, dentro de los </w:t>
      </w:r>
      <w:r>
        <w:rPr>
          <w:rFonts w:eastAsia="Lexend" w:cs="Lexend" w:ascii="Lexend" w:hAnsi="Lexend"/>
          <w:b/>
          <w:color w:val="000000"/>
        </w:rPr>
        <w:t xml:space="preserve">cinco (5) días hábiles </w:t>
      </w:r>
      <w:r>
        <w:rPr>
          <w:rFonts w:eastAsia="Lexend Light" w:cs="Lexend Light" w:ascii="Lexend Light" w:hAnsi="Lexend Light"/>
          <w:color w:val="000000"/>
        </w:rPr>
        <w:t>siguientes. Luego de ello, la entidad otorgante del apoyo iniciará el trámite correspondiente para el perfeccionamiento, suscripción y legalización del contrato, de conformidad con las indicaciones contempladas en este documento y en la normatividad vigente que le sea aplicable. Lo anterior incluye, la constitución por parte de la entidad que aceptó el apoyo, de las garantías que sean requeridas para respaldar la correcta ejecución del contrato, de acuerdo con la naturaleza del mismo.</w:t>
      </w:r>
    </w:p>
    <w:p>
      <w:pPr>
        <w:pStyle w:val="Normal"/>
        <w:pBdr/>
        <w:spacing w:lineRule="auto" w:line="367" w:before="201" w:after="0"/>
        <w:ind w:left="221" w:right="398" w:hanging="0"/>
        <w:jc w:val="both"/>
        <w:rPr>
          <w:rFonts w:ascii="Lexend Light" w:hAnsi="Lexend Light" w:eastAsia="Lexend Light" w:cs="Lexend Light"/>
          <w:color w:val="000000"/>
        </w:rPr>
      </w:pPr>
      <w:r>
        <w:rPr>
          <w:rFonts w:eastAsia="Lexend Light" w:cs="Lexend Light" w:ascii="Lexend Light" w:hAnsi="Lexend Light"/>
          <w:color w:val="000000"/>
        </w:rPr>
        <w:t>Es responsabilidad de la entidad que aceptó el apoyo aportar estos documentos dentro de los términos de calidad y oportunidad solicitados, para evitar reprocesos y demora en el trámite de legalización de su contrato. Todo lo cual incide a su vez, sobre el proceso de pago efectivo del primer desembolso.</w:t>
      </w:r>
    </w:p>
    <w:p>
      <w:pPr>
        <w:pStyle w:val="Normal"/>
        <w:spacing w:lineRule="auto" w:line="367" w:before="243" w:after="0"/>
        <w:ind w:left="221" w:right="402" w:hanging="0"/>
        <w:jc w:val="both"/>
        <w:rPr>
          <w:color w:val="000000"/>
          <w:sz w:val="37"/>
          <w:szCs w:val="37"/>
        </w:rPr>
      </w:pPr>
      <w:r>
        <w:rPr>
          <w:rFonts w:eastAsia="Lexend Light" w:cs="Lexend Light" w:ascii="Lexend Light" w:hAnsi="Lexend Light"/>
          <w:color w:val="EC4ED0"/>
        </w:rPr>
        <w:t>Nota.</w:t>
      </w:r>
      <w:r>
        <w:rPr>
          <w:color w:val="EC4ED0"/>
        </w:rPr>
        <w:t xml:space="preserve"> </w:t>
      </w:r>
      <w:r>
        <w:rPr>
          <w:rFonts w:eastAsia="Lexend Light" w:cs="Lexend Light" w:ascii="Lexend Light" w:hAnsi="Lexend Light"/>
        </w:rPr>
        <w:t xml:space="preserve">En el caso de la línea </w:t>
      </w:r>
      <w:r>
        <w:rPr>
          <w:rFonts w:eastAsia="Lexend Light" w:cs="Lexend Light" w:ascii="Lexend Light" w:hAnsi="Lexend Light"/>
          <w:i/>
        </w:rPr>
        <w:t>Procesos de producción y circulación de espectáculos de las artes escénicas. Recursos de la Contribución Parafiscal Cultural - Ley de Espectáculos Públicos-LEP</w:t>
      </w:r>
      <w:r>
        <w:rPr>
          <w:rFonts w:eastAsia="Lexend Light" w:cs="Lexend Light" w:ascii="Lexend Light" w:hAnsi="Lexend Light"/>
        </w:rPr>
        <w:t>, la legalización del contrato con la entidad apoyada estará sujeta a la aprobación del proyecto por parte del Ministerio de las Culturas, las Artes y los Saberes.</w:t>
      </w:r>
    </w:p>
    <w:p>
      <w:pPr>
        <w:pStyle w:val="Ttulo2"/>
        <w:numPr>
          <w:ilvl w:val="1"/>
          <w:numId w:val="3"/>
        </w:numPr>
        <w:tabs>
          <w:tab w:val="clear" w:pos="720"/>
          <w:tab w:val="left" w:pos="1300" w:leader="none"/>
          <w:tab w:val="left" w:pos="1301" w:leader="none"/>
          <w:tab w:val="left" w:pos="2482" w:leader="none"/>
          <w:tab w:val="left" w:pos="2865" w:leader="none"/>
        </w:tabs>
        <w:spacing w:lineRule="auto" w:line="247" w:before="0" w:after="0"/>
        <w:ind w:left="1016" w:right="404" w:hanging="435"/>
        <w:jc w:val="both"/>
        <w:rPr>
          <w:rFonts w:ascii="Lexend Light" w:hAnsi="Lexend Light" w:eastAsia="Lexend Light" w:cs="Lexend Light"/>
        </w:rPr>
      </w:pPr>
      <w:r>
        <w:rPr>
          <w:rFonts w:eastAsia="Lexend Light" w:cs="Lexend Light" w:ascii="Lexend Light" w:hAnsi="Lexend Light"/>
          <w:color w:val="2E5395"/>
        </w:rPr>
        <w:t>¿Cómo y cuándo se realiza el desembolso de los recursos asignados al proyecto?</w:t>
      </w:r>
    </w:p>
    <w:p>
      <w:pPr>
        <w:pStyle w:val="Normal"/>
        <w:pBdr/>
        <w:spacing w:lineRule="auto" w:line="367" w:before="236" w:after="0"/>
        <w:ind w:left="221" w:right="398" w:hanging="0"/>
        <w:jc w:val="both"/>
        <w:rPr>
          <w:rFonts w:ascii="Lexend Light" w:hAnsi="Lexend Light" w:eastAsia="Lexend Light" w:cs="Lexend Light"/>
          <w:color w:val="000000"/>
        </w:rPr>
      </w:pPr>
      <w:r>
        <w:rPr>
          <w:rFonts w:eastAsia="Lexend Light" w:cs="Lexend Light" w:ascii="Lexend Light" w:hAnsi="Lexend Light"/>
          <w:color w:val="000000"/>
        </w:rPr>
        <w:t>La entidad apoyada por el PDAC para la ejecución de su proyecto, debe tener en cuenta en relación con la entrega de los recursos asignados que:</w:t>
      </w:r>
    </w:p>
    <w:p>
      <w:pPr>
        <w:pStyle w:val="Normal"/>
        <w:numPr>
          <w:ilvl w:val="0"/>
          <w:numId w:val="1"/>
        </w:numPr>
        <w:pBdr/>
        <w:tabs>
          <w:tab w:val="clear" w:pos="720"/>
          <w:tab w:val="left" w:pos="581" w:leader="none"/>
        </w:tabs>
        <w:spacing w:lineRule="auto" w:line="364" w:before="95" w:after="0"/>
        <w:ind w:left="581" w:right="404" w:hanging="360"/>
        <w:jc w:val="both"/>
        <w:rPr>
          <w:rFonts w:ascii="Lexend Light" w:hAnsi="Lexend Light" w:eastAsia="Lexend Light" w:cs="Lexend Light"/>
          <w:color w:val="000000"/>
        </w:rPr>
      </w:pPr>
      <w:r>
        <w:rPr>
          <w:rFonts w:eastAsia="Lexend Light" w:cs="Lexend Light" w:ascii="Lexend Light" w:hAnsi="Lexend Light"/>
          <w:color w:val="000000"/>
        </w:rPr>
        <w:t>El número de desembolsos, el momento de entrega y el porcentaje de cada uno, serán deﬁnidos por la entidad que otorga el apoyo.</w:t>
      </w:r>
    </w:p>
    <w:p>
      <w:pPr>
        <w:pStyle w:val="Normal"/>
        <w:numPr>
          <w:ilvl w:val="0"/>
          <w:numId w:val="1"/>
        </w:numPr>
        <w:pBdr/>
        <w:tabs>
          <w:tab w:val="clear" w:pos="720"/>
          <w:tab w:val="left" w:pos="581" w:leader="none"/>
        </w:tabs>
        <w:spacing w:lineRule="auto" w:line="364" w:before="95" w:after="0"/>
        <w:ind w:left="581" w:right="404" w:hanging="360"/>
        <w:jc w:val="both"/>
        <w:rPr>
          <w:rFonts w:ascii="Lexend Light" w:hAnsi="Lexend Light" w:eastAsia="Lexend Light" w:cs="Lexend Light"/>
          <w:color w:val="000000"/>
        </w:rPr>
      </w:pPr>
      <w:r>
        <w:rPr>
          <w:rFonts w:eastAsia="Lexend Light" w:cs="Lexend Light" w:ascii="Lexend Light" w:hAnsi="Lexend Light"/>
          <w:color w:val="000000"/>
        </w:rPr>
        <w:t>Cada desembolso se efectuará previa certiﬁcación de cumplimiento expedida por la entidad que otorga el apoyo, lo cual implica la entrega oportuna y a satisfacción por parte de la entidad apoyada, de la documentación requerida para tal efecto, incluidos los respectivos informes técnico y ﬁnanciero de ejecución del contrato.</w:t>
      </w:r>
    </w:p>
    <w:p>
      <w:pPr>
        <w:pStyle w:val="Normal"/>
        <w:numPr>
          <w:ilvl w:val="0"/>
          <w:numId w:val="1"/>
        </w:numPr>
        <w:pBdr/>
        <w:tabs>
          <w:tab w:val="clear" w:pos="720"/>
          <w:tab w:val="left" w:pos="581" w:leader="none"/>
        </w:tabs>
        <w:spacing w:lineRule="auto" w:line="364" w:before="95" w:after="0"/>
        <w:ind w:left="581" w:right="404" w:hanging="360"/>
        <w:jc w:val="both"/>
        <w:rPr>
          <w:rFonts w:ascii="Lexend Light" w:hAnsi="Lexend Light" w:eastAsia="Lexend Light" w:cs="Lexend Light"/>
          <w:color w:val="000000"/>
        </w:rPr>
      </w:pPr>
      <w:r>
        <w:rPr>
          <w:rFonts w:eastAsia="Lexend Light" w:cs="Lexend Light" w:ascii="Lexend Light" w:hAnsi="Lexend Light"/>
          <w:color w:val="000000"/>
        </w:rPr>
        <w:t>Cada desembolso estará sujeto a la disponibilidad de recursos y a la programación de pagos que realice en su PAC, la entidad que otorga el apoyo.</w:t>
      </w:r>
    </w:p>
    <w:p>
      <w:pPr>
        <w:pStyle w:val="Normal"/>
        <w:numPr>
          <w:ilvl w:val="0"/>
          <w:numId w:val="1"/>
        </w:numPr>
        <w:pBdr/>
        <w:tabs>
          <w:tab w:val="clear" w:pos="720"/>
          <w:tab w:val="left" w:pos="581" w:leader="none"/>
        </w:tabs>
        <w:spacing w:lineRule="auto" w:line="364" w:before="95" w:after="0"/>
        <w:ind w:left="581" w:right="404" w:hanging="360"/>
        <w:jc w:val="both"/>
        <w:rPr>
          <w:rFonts w:ascii="Lexend Light" w:hAnsi="Lexend Light" w:eastAsia="Lexend Light" w:cs="Lexend Light"/>
          <w:color w:val="000000"/>
        </w:rPr>
      </w:pPr>
      <w:r>
        <w:rPr>
          <w:rFonts w:eastAsia="Lexend Light" w:cs="Lexend Light" w:ascii="Lexend Light" w:hAnsi="Lexend Light"/>
          <w:color w:val="000000"/>
        </w:rPr>
        <w:t>A cada desembolso se le realizarán las retenciones que apliquen según la normatividad vigente, las cuales serán asumidas por la entidad apoyada dependiendo de su calidad tributaria.</w:t>
      </w:r>
    </w:p>
    <w:p>
      <w:pPr>
        <w:pStyle w:val="Ttulo2"/>
        <w:numPr>
          <w:ilvl w:val="1"/>
          <w:numId w:val="3"/>
        </w:numPr>
        <w:tabs>
          <w:tab w:val="clear" w:pos="720"/>
          <w:tab w:val="left" w:pos="1300" w:leader="none"/>
          <w:tab w:val="left" w:pos="1301" w:leader="none"/>
        </w:tabs>
        <w:spacing w:before="164" w:after="0"/>
        <w:ind w:left="1301" w:hanging="720"/>
        <w:rPr>
          <w:rFonts w:ascii="Lexend Light" w:hAnsi="Lexend Light" w:eastAsia="Lexend Light" w:cs="Lexend Light"/>
        </w:rPr>
      </w:pPr>
      <w:r>
        <w:rPr>
          <w:rFonts w:eastAsia="Lexend Light" w:cs="Lexend Light" w:ascii="Lexend Light" w:hAnsi="Lexend Light"/>
          <w:color w:val="2E5395"/>
        </w:rPr>
        <w:t>¿Cuáles son los derechos de las entidades apoyadas?</w:t>
      </w:r>
    </w:p>
    <w:p>
      <w:pPr>
        <w:pStyle w:val="Normal"/>
        <w:pBdr/>
        <w:spacing w:lineRule="auto" w:line="367" w:before="251" w:after="0"/>
        <w:ind w:left="221" w:hanging="0"/>
        <w:jc w:val="both"/>
        <w:rPr>
          <w:rFonts w:ascii="Lexend Light" w:hAnsi="Lexend Light" w:eastAsia="Lexend Light" w:cs="Lexend Light"/>
          <w:color w:val="000000"/>
        </w:rPr>
      </w:pPr>
      <w:r>
        <w:rPr>
          <w:rFonts w:eastAsia="Lexend Light" w:cs="Lexend Light" w:ascii="Lexend Light" w:hAnsi="Lexend Light"/>
          <w:color w:val="000000"/>
        </w:rPr>
        <w:t>A continuación, se encuentran</w:t>
      </w:r>
      <w:r>
        <w:rPr>
          <w:rFonts w:eastAsia="Lexend Light" w:cs="Lexend Light" w:ascii="Lexend Light" w:hAnsi="Lexend Light"/>
        </w:rPr>
        <w:t xml:space="preserve"> </w:t>
      </w:r>
      <w:r>
        <w:rPr>
          <w:rFonts w:eastAsia="Lexend Light" w:cs="Lexend Light" w:ascii="Lexend Light" w:hAnsi="Lexend Light"/>
          <w:color w:val="000000"/>
        </w:rPr>
        <w:t>relacionados los derechos que tienen las entidades apoyadas por el PDAC:</w:t>
      </w:r>
    </w:p>
    <w:p>
      <w:pPr>
        <w:pStyle w:val="Normal"/>
        <w:numPr>
          <w:ilvl w:val="0"/>
          <w:numId w:val="16"/>
        </w:numPr>
        <w:pBdr/>
        <w:tabs>
          <w:tab w:val="clear" w:pos="720"/>
          <w:tab w:val="left" w:pos="581" w:leader="none"/>
        </w:tabs>
        <w:spacing w:lineRule="auto" w:line="367" w:before="241" w:after="0"/>
        <w:ind w:left="581" w:right="400" w:hanging="360"/>
        <w:jc w:val="both"/>
        <w:rPr>
          <w:rFonts w:ascii="Helvetica Neue" w:hAnsi="Helvetica Neue" w:eastAsia="Helvetica Neue" w:cs="Helvetica Neue"/>
          <w:color w:val="EC52C1"/>
        </w:rPr>
      </w:pPr>
      <w:r>
        <w:rPr>
          <w:rFonts w:eastAsia="Lexend Light" w:cs="Lexend Light" w:ascii="Lexend Light" w:hAnsi="Lexend Light"/>
          <w:b/>
          <w:color w:val="EC52C1"/>
        </w:rPr>
        <w:t>Titularidad de derechos patrimoniales.</w:t>
      </w:r>
      <w:r>
        <w:rPr>
          <w:rFonts w:eastAsia="Lexend Light" w:cs="Lexend Light" w:ascii="Lexend Light" w:hAnsi="Lexend Light"/>
          <w:color w:val="000000"/>
        </w:rPr>
        <w:t xml:space="preserve"> Ser la titular de los derechos patrimoniales de su proyecto.</w:t>
      </w:r>
    </w:p>
    <w:p>
      <w:pPr>
        <w:pStyle w:val="Normal"/>
        <w:numPr>
          <w:ilvl w:val="0"/>
          <w:numId w:val="16"/>
        </w:numPr>
        <w:pBdr/>
        <w:tabs>
          <w:tab w:val="clear" w:pos="720"/>
          <w:tab w:val="left" w:pos="581" w:leader="none"/>
        </w:tabs>
        <w:spacing w:lineRule="auto" w:line="367" w:before="242" w:after="0"/>
        <w:ind w:left="581" w:right="402" w:hanging="360"/>
        <w:jc w:val="both"/>
        <w:rPr>
          <w:rFonts w:ascii="Helvetica Neue" w:hAnsi="Helvetica Neue" w:eastAsia="Helvetica Neue" w:cs="Helvetica Neue"/>
          <w:color w:val="EC52C1"/>
        </w:rPr>
      </w:pPr>
      <w:r>
        <w:rPr>
          <w:rFonts w:eastAsia="Lexend Light" w:cs="Lexend Light" w:ascii="Lexend Light" w:hAnsi="Lexend Light"/>
          <w:b/>
          <w:color w:val="EC52C1"/>
        </w:rPr>
        <w:t>Recibir los recursos otorgados.</w:t>
      </w:r>
      <w:r>
        <w:rPr>
          <w:rFonts w:eastAsia="Tahoma" w:cs="Tahoma" w:ascii="Tahoma" w:hAnsi="Tahoma"/>
          <w:b/>
          <w:color w:val="EC52C1"/>
        </w:rPr>
        <w:t xml:space="preserve"> </w:t>
      </w:r>
      <w:r>
        <w:rPr>
          <w:rFonts w:eastAsia="Lexend Light" w:cs="Lexend Light" w:ascii="Lexend Light" w:hAnsi="Lexend Light"/>
          <w:color w:val="000000"/>
        </w:rPr>
        <w:t>Recibir el apoyo otorgado al proyecto, en el monto asignado y en los desembolsos deﬁnidos, teniendo en cuenta las retenciones de ley.</w:t>
      </w:r>
    </w:p>
    <w:p>
      <w:pPr>
        <w:pStyle w:val="Normal"/>
        <w:numPr>
          <w:ilvl w:val="0"/>
          <w:numId w:val="16"/>
        </w:numPr>
        <w:pBdr/>
        <w:tabs>
          <w:tab w:val="clear" w:pos="720"/>
          <w:tab w:val="left" w:pos="581" w:leader="none"/>
        </w:tabs>
        <w:spacing w:lineRule="auto" w:line="367" w:before="242" w:after="0"/>
        <w:ind w:left="581" w:right="403" w:hanging="360"/>
        <w:jc w:val="both"/>
        <w:rPr>
          <w:rFonts w:ascii="Helvetica Neue" w:hAnsi="Helvetica Neue" w:eastAsia="Helvetica Neue" w:cs="Helvetica Neue"/>
          <w:color w:val="EC52C1"/>
        </w:rPr>
      </w:pPr>
      <w:r>
        <w:rPr>
          <w:rFonts w:eastAsia="Lexend Light" w:cs="Lexend Light" w:ascii="Lexend Light" w:hAnsi="Lexend Light"/>
          <w:b/>
          <w:color w:val="EC52C1"/>
        </w:rPr>
        <w:t>Recibir las certiﬁcaciones que solicite.</w:t>
      </w:r>
      <w:r>
        <w:rPr>
          <w:rFonts w:eastAsia="Lexend Light" w:cs="Lexend Light" w:ascii="Lexend Light" w:hAnsi="Lexend Light"/>
          <w:color w:val="000000"/>
        </w:rPr>
        <w:t xml:space="preserve"> Solicitar y recibir oportunamente las certiﬁcaciones relacionadas con la participación del proyecto en la convocatoria y con la ejecución del contrato.</w:t>
      </w:r>
    </w:p>
    <w:p>
      <w:pPr>
        <w:pStyle w:val="Normal"/>
        <w:numPr>
          <w:ilvl w:val="0"/>
          <w:numId w:val="16"/>
        </w:numPr>
        <w:pBdr/>
        <w:tabs>
          <w:tab w:val="clear" w:pos="720"/>
          <w:tab w:val="left" w:pos="581" w:leader="none"/>
        </w:tabs>
        <w:spacing w:lineRule="auto" w:line="367" w:before="242" w:after="0"/>
        <w:ind w:left="581" w:right="399" w:hanging="360"/>
        <w:jc w:val="both"/>
        <w:rPr>
          <w:rFonts w:ascii="Helvetica Neue" w:hAnsi="Helvetica Neue" w:eastAsia="Helvetica Neue" w:cs="Helvetica Neue"/>
          <w:color w:val="EC52C1"/>
        </w:rPr>
      </w:pPr>
      <w:r>
        <w:rPr>
          <w:rFonts w:eastAsia="Lexend Light" w:cs="Lexend Light" w:ascii="Lexend Light" w:hAnsi="Lexend Light"/>
          <w:b/>
          <w:color w:val="EC52C1"/>
        </w:rPr>
        <w:t>Acceder a las acciones de divulgación.</w:t>
      </w:r>
      <w:r>
        <w:rPr>
          <w:rFonts w:eastAsia="Tahoma" w:cs="Tahoma" w:ascii="Tahoma" w:hAnsi="Tahoma"/>
          <w:b/>
          <w:color w:val="EC52C1"/>
        </w:rPr>
        <w:t xml:space="preserve"> </w:t>
      </w:r>
      <w:r>
        <w:rPr>
          <w:rFonts w:eastAsia="Lexend Light" w:cs="Lexend Light" w:ascii="Lexend Light" w:hAnsi="Lexend Light"/>
          <w:color w:val="000000"/>
        </w:rPr>
        <w:t>Ser incluidos en las acciones de divulgación que las entidades del sector cultura de Bogotá D.C. realicen dentro del ámbito de sus funciones, y conforme a la disponibilidad de recursos con que cuenten para tal efecto. Es MUY IMPORTANTE aclarar, que la difusión y divulgación de las actividades de su proyecto es responsabilidad exclusiva de la entidad apoyada.</w:t>
      </w:r>
    </w:p>
    <w:p>
      <w:pPr>
        <w:pStyle w:val="Normal"/>
        <w:numPr>
          <w:ilvl w:val="0"/>
          <w:numId w:val="14"/>
        </w:numPr>
        <w:pBdr/>
        <w:tabs>
          <w:tab w:val="clear" w:pos="720"/>
          <w:tab w:val="left" w:pos="581" w:leader="none"/>
        </w:tabs>
        <w:spacing w:lineRule="auto" w:line="367" w:before="99" w:after="0"/>
        <w:ind w:left="581" w:right="365" w:hanging="360"/>
        <w:jc w:val="both"/>
        <w:rPr/>
      </w:pPr>
      <w:r>
        <w:rPr>
          <w:rFonts w:eastAsia="Lexend Light" w:cs="Lexend Light" w:ascii="Lexend Light" w:hAnsi="Lexend Light"/>
          <w:b/>
          <w:color w:val="EC52C1"/>
        </w:rPr>
        <w:t>Contar con acompañamiento durante la ejecución del contrato</w:t>
      </w:r>
      <w:r>
        <w:rPr>
          <w:rFonts w:eastAsia="Lexend Light" w:cs="Lexend Light" w:ascii="Lexend Light" w:hAnsi="Lexend Light"/>
          <w:color w:val="EC52C1"/>
        </w:rPr>
        <w:t>.</w:t>
      </w:r>
      <w:r>
        <w:rPr>
          <w:color w:val="EC52C1"/>
        </w:rPr>
        <w:t xml:space="preserve"> </w:t>
      </w:r>
      <w:r>
        <w:rPr>
          <w:rFonts w:eastAsia="Lexend Light" w:cs="Lexend Light" w:ascii="Lexend Light" w:hAnsi="Lexend Light"/>
          <w:color w:val="000000"/>
        </w:rPr>
        <w:t>Recibir acompañamiento técnico para la ejecución adecuada del contrato, por parte de la entidad otorgante del apoyo, dentro del ámbito de su misionalidad, funciones y competencia.</w:t>
      </w:r>
    </w:p>
    <w:p>
      <w:pPr>
        <w:pStyle w:val="Ttulo2"/>
        <w:numPr>
          <w:ilvl w:val="1"/>
          <w:numId w:val="3"/>
        </w:numPr>
        <w:tabs>
          <w:tab w:val="clear" w:pos="720"/>
          <w:tab w:val="left" w:pos="1016" w:leader="none"/>
        </w:tabs>
        <w:spacing w:before="162" w:after="0"/>
        <w:ind w:left="1016" w:hanging="435"/>
        <w:rPr>
          <w:rFonts w:ascii="Lexend Light" w:hAnsi="Lexend Light" w:eastAsia="Lexend Light" w:cs="Lexend Light"/>
        </w:rPr>
      </w:pPr>
      <w:r>
        <w:rPr>
          <w:rFonts w:eastAsia="Lexend Light" w:cs="Lexend Light" w:ascii="Lexend Light" w:hAnsi="Lexend Light"/>
          <w:color w:val="2E5395"/>
        </w:rPr>
        <w:t>¿Cuáles son los deberes de las entidades apoyadas?</w:t>
      </w:r>
    </w:p>
    <w:p>
      <w:pPr>
        <w:pStyle w:val="Normal"/>
        <w:pBdr/>
        <w:spacing w:before="4" w:after="0"/>
        <w:rPr>
          <w:rFonts w:ascii="Tahoma" w:hAnsi="Tahoma" w:eastAsia="Tahoma" w:cs="Tahoma"/>
          <w:b/>
          <w:b/>
          <w:color w:val="000000"/>
          <w:sz w:val="35"/>
          <w:szCs w:val="35"/>
        </w:rPr>
      </w:pPr>
      <w:r>
        <w:rPr>
          <w:rFonts w:eastAsia="Tahoma" w:cs="Tahoma" w:ascii="Tahoma" w:hAnsi="Tahoma"/>
          <w:b/>
          <w:color w:val="000000"/>
          <w:sz w:val="35"/>
          <w:szCs w:val="35"/>
        </w:rPr>
      </w:r>
    </w:p>
    <w:p>
      <w:pPr>
        <w:pStyle w:val="Normal"/>
        <w:pBdr/>
        <w:spacing w:lineRule="auto" w:line="367"/>
        <w:ind w:left="221" w:right="407" w:hanging="0"/>
        <w:jc w:val="both"/>
        <w:rPr>
          <w:rFonts w:ascii="Lexend Light" w:hAnsi="Lexend Light" w:eastAsia="Lexend Light" w:cs="Lexend Light"/>
          <w:color w:val="000000"/>
        </w:rPr>
      </w:pPr>
      <w:r>
        <w:rPr>
          <w:rFonts w:eastAsia="Lexend Light" w:cs="Lexend Light" w:ascii="Lexend Light" w:hAnsi="Lexend Light"/>
          <w:color w:val="000000"/>
        </w:rPr>
        <w:t>A continuación, se encuentran relacionados los deberes que adquieren las entidades apoyadas por el PDAC:</w:t>
      </w:r>
    </w:p>
    <w:p>
      <w:pPr>
        <w:pStyle w:val="Normal"/>
        <w:numPr>
          <w:ilvl w:val="0"/>
          <w:numId w:val="13"/>
        </w:numPr>
        <w:pBdr/>
        <w:tabs>
          <w:tab w:val="clear" w:pos="720"/>
          <w:tab w:val="left" w:pos="581" w:leader="none"/>
        </w:tabs>
        <w:spacing w:lineRule="auto" w:line="367" w:before="201" w:after="0"/>
        <w:ind w:left="581" w:right="412" w:hanging="360"/>
        <w:jc w:val="both"/>
        <w:rPr>
          <w:rFonts w:ascii="Helvetica Neue" w:hAnsi="Helvetica Neue" w:eastAsia="Helvetica Neue" w:cs="Helvetica Neue"/>
        </w:rPr>
      </w:pPr>
      <w:r>
        <w:rPr>
          <w:rFonts w:eastAsia="Lexend Light" w:cs="Lexend Light" w:ascii="Lexend Light" w:hAnsi="Lexend Light"/>
          <w:b/>
          <w:color w:val="EC52C1"/>
        </w:rPr>
        <w:t>Plazo para la aceptación del apoyo.</w:t>
      </w:r>
      <w:r>
        <w:rPr>
          <w:rFonts w:eastAsia="Tahoma" w:cs="Tahoma" w:ascii="Tahoma" w:hAnsi="Tahoma"/>
          <w:b/>
          <w:color w:val="EC52C1"/>
        </w:rPr>
        <w:t xml:space="preserve"> </w:t>
      </w:r>
      <w:r>
        <w:rPr>
          <w:rFonts w:eastAsia="Lexend Light" w:cs="Lexend Light" w:ascii="Lexend Light" w:hAnsi="Lexend Light"/>
          <w:color w:val="000000"/>
        </w:rPr>
        <w:t>Informar por escrito dentro de los términos de tiempo establecidos e informados, la aceptación o no de los recursos asignados para la ejecución de su proyecto.</w:t>
      </w:r>
    </w:p>
    <w:p>
      <w:pPr>
        <w:pStyle w:val="Normal"/>
        <w:numPr>
          <w:ilvl w:val="0"/>
          <w:numId w:val="13"/>
        </w:numPr>
        <w:pBdr/>
        <w:tabs>
          <w:tab w:val="clear" w:pos="720"/>
          <w:tab w:val="left" w:pos="581" w:leader="none"/>
        </w:tabs>
        <w:spacing w:lineRule="auto" w:line="367" w:before="204" w:after="0"/>
        <w:ind w:left="581" w:right="399" w:hanging="360"/>
        <w:jc w:val="both"/>
        <w:rPr>
          <w:rFonts w:ascii="Helvetica Neue" w:hAnsi="Helvetica Neue" w:eastAsia="Helvetica Neue" w:cs="Helvetica Neue"/>
        </w:rPr>
      </w:pPr>
      <w:r>
        <w:rPr>
          <w:rFonts w:eastAsia="Lexend Light" w:cs="Lexend Light" w:ascii="Lexend Light" w:hAnsi="Lexend Light"/>
          <w:b/>
          <w:color w:val="EC52C1"/>
        </w:rPr>
        <w:t>Recomendaciones de la entidad evaluadora y recomendaciones de ejecución.</w:t>
      </w:r>
      <w:r>
        <w:rPr>
          <w:rFonts w:eastAsia="Tahoma" w:cs="Tahoma" w:ascii="Tahoma" w:hAnsi="Tahoma"/>
          <w:b/>
          <w:color w:val="EC52C1"/>
        </w:rPr>
        <w:t xml:space="preserve"> </w:t>
      </w:r>
      <w:r>
        <w:rPr>
          <w:rFonts w:eastAsia="Lexend Light" w:cs="Lexend Light" w:ascii="Lexend Light" w:hAnsi="Lexend Light"/>
          <w:color w:val="000000"/>
        </w:rPr>
        <w:t>Concertar con la entidad que otorga el apoyo, las acciones para acoger de las recomendaciones realizadas en la planilla de evaluación, por parte de la entidad evaluadora. Así como acoger las recomendaciones en torno a la ejecución del contrato, que realice la entidad que otorga el apoyo como parte del proceso de supervisión o interventoría.</w:t>
      </w:r>
    </w:p>
    <w:p>
      <w:pPr>
        <w:pStyle w:val="Normal"/>
        <w:numPr>
          <w:ilvl w:val="0"/>
          <w:numId w:val="13"/>
        </w:numPr>
        <w:pBdr/>
        <w:tabs>
          <w:tab w:val="clear" w:pos="720"/>
          <w:tab w:val="left" w:pos="581" w:leader="none"/>
        </w:tabs>
        <w:spacing w:lineRule="auto" w:line="367" w:before="205" w:after="0"/>
        <w:ind w:left="581" w:right="404" w:hanging="360"/>
        <w:jc w:val="both"/>
        <w:rPr>
          <w:rFonts w:ascii="Helvetica Neue" w:hAnsi="Helvetica Neue" w:eastAsia="Helvetica Neue" w:cs="Helvetica Neue"/>
        </w:rPr>
      </w:pPr>
      <w:r>
        <w:rPr>
          <w:rFonts w:eastAsia="Lexend Light" w:cs="Lexend Light" w:ascii="Lexend Light" w:hAnsi="Lexend Light"/>
          <w:b/>
          <w:color w:val="EC52C1"/>
        </w:rPr>
        <w:t>Concertación del presupuesto del proyecto.</w:t>
      </w:r>
      <w:r>
        <w:rPr>
          <w:rFonts w:eastAsia="Tahoma" w:cs="Tahoma" w:ascii="Tahoma" w:hAnsi="Tahoma"/>
          <w:b/>
          <w:color w:val="EC52C1"/>
        </w:rPr>
        <w:t xml:space="preserve"> </w:t>
      </w:r>
      <w:r>
        <w:rPr>
          <w:rFonts w:eastAsia="Lexend Light" w:cs="Lexend Light" w:ascii="Lexend Light" w:hAnsi="Lexend Light"/>
          <w:color w:val="000000"/>
        </w:rPr>
        <w:t xml:space="preserve">Concertar con la entidad que otorga el apoyo el ajuste al presupuesto del proyecto, de acuerdo con la asignación de recursos otorgados y las Condiciones Generales de Participación de la convocatoria. </w:t>
      </w:r>
    </w:p>
    <w:p>
      <w:pPr>
        <w:pStyle w:val="Normal"/>
        <w:numPr>
          <w:ilvl w:val="0"/>
          <w:numId w:val="13"/>
        </w:numPr>
        <w:pBdr/>
        <w:tabs>
          <w:tab w:val="clear" w:pos="720"/>
          <w:tab w:val="left" w:pos="581" w:leader="none"/>
        </w:tabs>
        <w:spacing w:lineRule="auto" w:line="367" w:before="203" w:after="0"/>
        <w:ind w:left="581" w:right="401" w:hanging="360"/>
        <w:jc w:val="both"/>
        <w:rPr>
          <w:rFonts w:ascii="Lexend Light" w:hAnsi="Lexend Light" w:eastAsia="Lexend Light" w:cs="Lexend Light"/>
        </w:rPr>
      </w:pPr>
      <w:r>
        <w:rPr>
          <w:rFonts w:eastAsia="Lexend Light" w:cs="Lexend Light" w:ascii="Lexend Light" w:hAnsi="Lexend Light"/>
          <w:b/>
          <w:color w:val="EC52C1"/>
        </w:rPr>
        <w:t>Perfeccionamiento del contrato.</w:t>
      </w:r>
      <w:r>
        <w:rPr>
          <w:rFonts w:eastAsia="Tahoma" w:cs="Tahoma" w:ascii="Tahoma" w:hAnsi="Tahoma"/>
          <w:b/>
          <w:color w:val="EC52C1"/>
        </w:rPr>
        <w:t xml:space="preserve"> </w:t>
      </w:r>
      <w:r>
        <w:rPr>
          <w:rFonts w:eastAsia="Lexend Light" w:cs="Lexend Light" w:ascii="Lexend Light" w:hAnsi="Lexend Light"/>
          <w:color w:val="000000"/>
        </w:rPr>
        <w:t>Perfeccionar el contrato con la entidad que otorga los recursos, de conformidad con las indicaciones contempladas en las Condiciones Generales de Participación de la convocatoria y la normatividad vigente que sea aplicable.</w:t>
      </w:r>
    </w:p>
    <w:p>
      <w:pPr>
        <w:pStyle w:val="Normal"/>
        <w:pBdr/>
        <w:spacing w:before="6" w:after="0"/>
        <w:rPr>
          <w:color w:val="000000"/>
          <w:sz w:val="17"/>
          <w:szCs w:val="17"/>
        </w:rPr>
      </w:pPr>
      <w:r>
        <w:rPr>
          <w:color w:val="000000"/>
          <w:sz w:val="17"/>
          <w:szCs w:val="17"/>
        </w:rPr>
      </w:r>
    </w:p>
    <w:p>
      <w:pPr>
        <w:pStyle w:val="Normal"/>
        <w:numPr>
          <w:ilvl w:val="0"/>
          <w:numId w:val="13"/>
        </w:numPr>
        <w:pBdr/>
        <w:tabs>
          <w:tab w:val="clear" w:pos="720"/>
          <w:tab w:val="left" w:pos="581" w:leader="none"/>
        </w:tabs>
        <w:spacing w:lineRule="auto" w:line="367" w:before="99" w:after="0"/>
        <w:ind w:left="581" w:right="405" w:hanging="360"/>
        <w:jc w:val="both"/>
        <w:rPr>
          <w:rFonts w:ascii="Helvetica Neue" w:hAnsi="Helvetica Neue" w:eastAsia="Helvetica Neue" w:cs="Helvetica Neue"/>
        </w:rPr>
      </w:pPr>
      <w:r>
        <w:rPr>
          <w:rFonts w:eastAsia="Lexend Light" w:cs="Lexend Light" w:ascii="Lexend Light" w:hAnsi="Lexend Light"/>
          <w:b/>
          <w:color w:val="EC52C1"/>
        </w:rPr>
        <w:t>Documentación requerida para la suscripción del contrato.</w:t>
      </w:r>
      <w:r>
        <w:rPr>
          <w:rFonts w:eastAsia="Tahoma" w:cs="Tahoma" w:ascii="Tahoma" w:hAnsi="Tahoma"/>
          <w:b/>
          <w:color w:val="EC52C1"/>
        </w:rPr>
        <w:t xml:space="preserve"> </w:t>
      </w:r>
      <w:r>
        <w:rPr>
          <w:rFonts w:eastAsia="Lexend Light" w:cs="Lexend Light" w:ascii="Lexend Light" w:hAnsi="Lexend Light"/>
          <w:color w:val="000000"/>
        </w:rPr>
        <w:t>Entregar a la entidad que otorga el apoyo, dentro de los términos de calidad y oportunidad solicitados toda la documentación requerida para la suscripción del contrato, y cargarla en la plataforma transaccional SECOP II.</w:t>
      </w:r>
    </w:p>
    <w:p>
      <w:pPr>
        <w:pStyle w:val="Normal"/>
        <w:numPr>
          <w:ilvl w:val="0"/>
          <w:numId w:val="13"/>
        </w:numPr>
        <w:pBdr/>
        <w:tabs>
          <w:tab w:val="clear" w:pos="720"/>
          <w:tab w:val="left" w:pos="581" w:leader="none"/>
        </w:tabs>
        <w:spacing w:lineRule="auto" w:line="367" w:before="203" w:after="0"/>
        <w:ind w:left="581" w:right="408" w:hanging="360"/>
        <w:jc w:val="both"/>
        <w:rPr>
          <w:rFonts w:ascii="Helvetica Neue" w:hAnsi="Helvetica Neue" w:eastAsia="Helvetica Neue" w:cs="Helvetica Neue"/>
        </w:rPr>
      </w:pPr>
      <w:r>
        <w:rPr>
          <w:rFonts w:eastAsia="Lexend Light" w:cs="Lexend Light" w:ascii="Lexend Light" w:hAnsi="Lexend Light"/>
          <w:b/>
          <w:color w:val="EC52C1"/>
        </w:rPr>
        <w:t>Costos de suscripción del contrato y constitución de garantías.</w:t>
      </w:r>
      <w:r>
        <w:rPr>
          <w:rFonts w:eastAsia="Tahoma" w:cs="Tahoma" w:ascii="Tahoma" w:hAnsi="Tahoma"/>
          <w:b/>
          <w:color w:val="EC52C1"/>
        </w:rPr>
        <w:t xml:space="preserve"> </w:t>
      </w:r>
      <w:r>
        <w:rPr>
          <w:rFonts w:eastAsia="Lexend Light" w:cs="Lexend Light" w:ascii="Lexend Light" w:hAnsi="Lexend Light"/>
          <w:color w:val="000000"/>
        </w:rPr>
        <w:t>Asumir con recursos propios los costos que surjan con ocasión de la suscripción, perfeccionamiento y legalización del contrato. Lo anterior incluye constituir las garantías que le sean requeridas por la entidad que otorga el apoyo y que respalden la ejecución del contrato, de acuerdo con la naturaleza del mismo.</w:t>
      </w:r>
    </w:p>
    <w:p>
      <w:pPr>
        <w:pStyle w:val="Normal"/>
        <w:numPr>
          <w:ilvl w:val="0"/>
          <w:numId w:val="13"/>
        </w:numPr>
        <w:pBdr/>
        <w:tabs>
          <w:tab w:val="clear" w:pos="720"/>
          <w:tab w:val="left" w:pos="581" w:leader="none"/>
        </w:tabs>
        <w:spacing w:lineRule="auto" w:line="367" w:before="205" w:after="0"/>
        <w:ind w:left="581" w:right="403" w:hanging="360"/>
        <w:jc w:val="both"/>
        <w:rPr>
          <w:rFonts w:ascii="Helvetica Neue" w:hAnsi="Helvetica Neue" w:eastAsia="Helvetica Neue" w:cs="Helvetica Neue"/>
        </w:rPr>
      </w:pPr>
      <w:r>
        <w:rPr>
          <w:rFonts w:eastAsia="Lexend Light" w:cs="Lexend Light" w:ascii="Lexend Light" w:hAnsi="Lexend Light"/>
          <w:b/>
          <w:color w:val="EC52C1"/>
        </w:rPr>
        <w:t>Documentación requerida para los desembolsos de los recursos asignados.</w:t>
      </w:r>
      <w:r>
        <w:rPr>
          <w:rFonts w:eastAsia="Tahoma" w:cs="Tahoma" w:ascii="Tahoma" w:hAnsi="Tahoma"/>
          <w:b/>
          <w:color w:val="EC52C1"/>
        </w:rPr>
        <w:t xml:space="preserve"> </w:t>
      </w:r>
      <w:r>
        <w:rPr>
          <w:rFonts w:eastAsia="Lexend Light" w:cs="Lexend Light" w:ascii="Lexend Light" w:hAnsi="Lexend Light"/>
          <w:color w:val="000000"/>
        </w:rPr>
        <w:t>Entregar a la entidad que otorga el apoyo, dentro de los términos de calidad y oportunidad solicitados, toda la documentación requerida para los desembolsos de los recursos asignados.</w:t>
      </w:r>
    </w:p>
    <w:p>
      <w:pPr>
        <w:pStyle w:val="Normal"/>
        <w:pBdr/>
        <w:tabs>
          <w:tab w:val="clear" w:pos="720"/>
          <w:tab w:val="left" w:pos="581" w:leader="none"/>
        </w:tabs>
        <w:spacing w:lineRule="auto" w:line="367" w:before="205" w:after="0"/>
        <w:ind w:left="581" w:right="403" w:hanging="0"/>
        <w:jc w:val="both"/>
        <w:rPr>
          <w:rFonts w:ascii="Lexend Light" w:hAnsi="Lexend Light" w:eastAsia="Lexend Light" w:cs="Lexend Light"/>
        </w:rPr>
      </w:pPr>
      <w:r>
        <w:rPr>
          <w:rFonts w:eastAsia="Lexend Light" w:cs="Lexend Light" w:ascii="Lexend Light" w:hAnsi="Lexend Light"/>
          <w:b/>
          <w:color w:val="EC52C1"/>
        </w:rPr>
        <w:t>Nota.</w:t>
      </w:r>
      <w:r>
        <w:rPr>
          <w:rFonts w:eastAsia="Lexend Light" w:cs="Lexend Light" w:ascii="Lexend Light" w:hAnsi="Lexend Light"/>
        </w:rPr>
        <w:t xml:space="preserve"> Tenga en cuenta que, si al proyecto le son asignados recursos por parte del Comité de Fomento, la entidad apoyada deberá abrir o destinar una cuenta bancaria exclusiva para el manejo de los recursos públicos desembolsados.</w:t>
      </w:r>
    </w:p>
    <w:p>
      <w:pPr>
        <w:pStyle w:val="Normal"/>
        <w:numPr>
          <w:ilvl w:val="0"/>
          <w:numId w:val="13"/>
        </w:numPr>
        <w:pBdr/>
        <w:tabs>
          <w:tab w:val="clear" w:pos="720"/>
          <w:tab w:val="left" w:pos="581" w:leader="none"/>
        </w:tabs>
        <w:spacing w:lineRule="auto" w:line="367" w:before="205" w:after="0"/>
        <w:ind w:left="581" w:right="403" w:hanging="360"/>
        <w:jc w:val="both"/>
        <w:rPr>
          <w:rFonts w:ascii="Helvetica Neue" w:hAnsi="Helvetica Neue" w:eastAsia="Helvetica Neue" w:cs="Helvetica Neue"/>
        </w:rPr>
      </w:pPr>
      <w:r>
        <w:rPr>
          <w:rFonts w:eastAsia="Lexend Light" w:cs="Lexend Light" w:ascii="Lexend Light" w:hAnsi="Lexend Light"/>
          <w:b/>
          <w:color w:val="EC52C1"/>
        </w:rPr>
        <w:t>Costos tributarios del apoyo.</w:t>
      </w:r>
      <w:r>
        <w:rPr>
          <w:rFonts w:eastAsia="Tahoma" w:cs="Tahoma" w:ascii="Tahoma" w:hAnsi="Tahoma"/>
          <w:b/>
          <w:color w:val="EC52C1"/>
        </w:rPr>
        <w:t xml:space="preserve"> </w:t>
      </w:r>
      <w:r>
        <w:rPr>
          <w:rFonts w:eastAsia="Lexend Light" w:cs="Lexend Light" w:ascii="Lexend Light" w:hAnsi="Lexend Light"/>
          <w:color w:val="000000"/>
        </w:rPr>
        <w:t>Asumir con recursos propios las obligaciones tributarias que apliquen a cada desembolso, según la normatividad vigente y su calidad tributaria.</w:t>
      </w:r>
    </w:p>
    <w:p>
      <w:pPr>
        <w:pStyle w:val="Normal"/>
        <w:numPr>
          <w:ilvl w:val="0"/>
          <w:numId w:val="13"/>
        </w:numPr>
        <w:pBdr/>
        <w:tabs>
          <w:tab w:val="clear" w:pos="720"/>
          <w:tab w:val="left" w:pos="581" w:leader="none"/>
        </w:tabs>
        <w:spacing w:lineRule="auto" w:line="367" w:before="202" w:after="0"/>
        <w:ind w:left="581" w:right="399" w:hanging="360"/>
        <w:jc w:val="both"/>
        <w:rPr>
          <w:rFonts w:ascii="Helvetica Neue" w:hAnsi="Helvetica Neue" w:eastAsia="Helvetica Neue" w:cs="Helvetica Neue"/>
        </w:rPr>
      </w:pPr>
      <w:r>
        <w:rPr>
          <w:rFonts w:eastAsia="Lexend Light" w:cs="Lexend Light" w:ascii="Lexend Light" w:hAnsi="Lexend Light"/>
          <w:b/>
          <w:color w:val="EC52C1"/>
        </w:rPr>
        <w:t>Uso de imagen institucional.</w:t>
      </w:r>
      <w:r>
        <w:rPr>
          <w:rFonts w:eastAsia="Tahoma" w:cs="Tahoma" w:ascii="Tahoma" w:hAnsi="Tahoma"/>
          <w:b/>
          <w:color w:val="EC52C1"/>
        </w:rPr>
        <w:t xml:space="preserve"> </w:t>
      </w:r>
      <w:r>
        <w:rPr>
          <w:rFonts w:eastAsia="Lexend Light" w:cs="Lexend Light" w:ascii="Lexend Light" w:hAnsi="Lexend Light"/>
          <w:color w:val="000000"/>
        </w:rPr>
        <w:t>Acoger los procedimientos de aprobación y los manuales de lineamientos gráﬁcos establecidos por la entidad que otorga el apoyo, en las piezas comunicativas y de divulgación que se generen durante la ejecución del proyecto apoyado.</w:t>
      </w:r>
    </w:p>
    <w:p>
      <w:pPr>
        <w:pStyle w:val="Normal"/>
        <w:numPr>
          <w:ilvl w:val="0"/>
          <w:numId w:val="13"/>
        </w:numPr>
        <w:pBdr/>
        <w:tabs>
          <w:tab w:val="clear" w:pos="720"/>
          <w:tab w:val="left" w:pos="581" w:leader="none"/>
        </w:tabs>
        <w:spacing w:lineRule="auto" w:line="367" w:before="202" w:after="0"/>
        <w:ind w:left="581" w:right="399" w:hanging="360"/>
        <w:jc w:val="both"/>
        <w:rPr>
          <w:rFonts w:ascii="Helvetica Neue" w:hAnsi="Helvetica Neue" w:eastAsia="Helvetica Neue" w:cs="Helvetica Neue"/>
        </w:rPr>
      </w:pPr>
      <w:r>
        <w:rPr>
          <w:rFonts w:eastAsia="Lexend Light" w:cs="Lexend Light" w:ascii="Lexend Light" w:hAnsi="Lexend Light"/>
          <w:b/>
          <w:color w:val="EC52C1"/>
        </w:rPr>
        <w:t>Créditos al PDAC y a la entidad que apoya.</w:t>
      </w:r>
      <w:r>
        <w:rPr>
          <w:rFonts w:eastAsia="Tahoma" w:cs="Tahoma" w:ascii="Tahoma" w:hAnsi="Tahoma"/>
          <w:b/>
          <w:color w:val="EC52C1"/>
        </w:rPr>
        <w:t xml:space="preserve"> </w:t>
      </w:r>
      <w:r>
        <w:rPr>
          <w:rFonts w:eastAsia="Lexend Light" w:cs="Lexend Light" w:ascii="Lexend Light" w:hAnsi="Lexend Light"/>
          <w:color w:val="000000"/>
        </w:rPr>
        <w:t>Dar los créditos al PDAC y a la entidad que otorga el apoyo en todas las actividades, eventos, entrevistas y demás acciones de divulgación que se desarrollen durante la ejecución del proyecto.</w:t>
      </w:r>
    </w:p>
    <w:p>
      <w:pPr>
        <w:pStyle w:val="Normal"/>
        <w:numPr>
          <w:ilvl w:val="0"/>
          <w:numId w:val="13"/>
        </w:numPr>
        <w:pBdr/>
        <w:tabs>
          <w:tab w:val="clear" w:pos="720"/>
          <w:tab w:val="left" w:pos="581" w:leader="none"/>
        </w:tabs>
        <w:spacing w:lineRule="auto" w:line="367" w:before="202" w:after="0"/>
        <w:ind w:left="581" w:right="399" w:hanging="360"/>
        <w:jc w:val="both"/>
        <w:rPr>
          <w:rFonts w:ascii="Helvetica Neue" w:hAnsi="Helvetica Neue" w:eastAsia="Helvetica Neue" w:cs="Helvetica Neue"/>
        </w:rPr>
      </w:pPr>
      <w:r>
        <w:rPr>
          <w:rFonts w:eastAsia="Lexend Light" w:cs="Lexend Light" w:ascii="Lexend Light" w:hAnsi="Lexend Light"/>
          <w:b/>
          <w:color w:val="EC52C1"/>
        </w:rPr>
        <w:t>Autorización para fines divulgativos.</w:t>
      </w:r>
      <w:r>
        <w:rPr>
          <w:rFonts w:eastAsia="Lexend Light" w:cs="Lexend Light" w:ascii="Lexend Light" w:hAnsi="Lexend Light"/>
        </w:rPr>
        <w:t xml:space="preserve"> Autorizar a la entidad que otorga el apoyo, el uso para fines divulgativos, en el marco de su misionalidad, del registro audiovisual y productos que resulten de la ejecución del proyecto apoyado. Para ello la entidad apoyada deberá contar con las autorizaciones o la cesión de los derechos de autor y conexos, donde los titulares de estos derechos, o las sociedades de gestión colectiva que los representen, permitan la reproducción, comunicación pública, distribución, puesta a disposición o transmisión digital. Asimismo, autorizarla para la divulgación y el uso del material que resulte del cubrimiento realizado a las actividades derivadas de la ejecución del proyecto. </w:t>
      </w:r>
    </w:p>
    <w:p>
      <w:pPr>
        <w:pStyle w:val="Normal"/>
        <w:pBdr/>
        <w:spacing w:before="6" w:after="0"/>
        <w:rPr>
          <w:color w:val="000000"/>
          <w:sz w:val="17"/>
          <w:szCs w:val="17"/>
        </w:rPr>
      </w:pPr>
      <w:r>
        <w:rPr>
          <w:color w:val="000000"/>
          <w:sz w:val="17"/>
          <w:szCs w:val="17"/>
        </w:rPr>
      </w:r>
    </w:p>
    <w:p>
      <w:pPr>
        <w:pStyle w:val="Normal"/>
        <w:numPr>
          <w:ilvl w:val="0"/>
          <w:numId w:val="13"/>
        </w:numPr>
        <w:pBdr/>
        <w:tabs>
          <w:tab w:val="clear" w:pos="720"/>
          <w:tab w:val="left" w:pos="581" w:leader="none"/>
        </w:tabs>
        <w:spacing w:lineRule="auto" w:line="367" w:before="99" w:after="0"/>
        <w:ind w:left="581" w:right="411" w:hanging="360"/>
        <w:jc w:val="both"/>
        <w:rPr>
          <w:rFonts w:ascii="Helvetica Neue" w:hAnsi="Helvetica Neue" w:eastAsia="Helvetica Neue" w:cs="Helvetica Neue"/>
        </w:rPr>
      </w:pPr>
      <w:r>
        <w:rPr>
          <w:rFonts w:eastAsia="Lexend Light" w:cs="Lexend Light" w:ascii="Lexend Light" w:hAnsi="Lexend Light"/>
          <w:b/>
          <w:color w:val="EC52C1"/>
        </w:rPr>
        <w:t>Costos de seguridad social y paraﬁscales.</w:t>
      </w:r>
      <w:r>
        <w:rPr>
          <w:rFonts w:eastAsia="Tahoma" w:cs="Tahoma" w:ascii="Tahoma" w:hAnsi="Tahoma"/>
          <w:b/>
          <w:color w:val="EC52C1"/>
        </w:rPr>
        <w:t xml:space="preserve"> </w:t>
      </w:r>
      <w:r>
        <w:rPr>
          <w:rFonts w:eastAsia="Lexend Light" w:cs="Lexend Light" w:ascii="Lexend Light" w:hAnsi="Lexend Light"/>
          <w:color w:val="000000"/>
        </w:rPr>
        <w:t>Cumplir con los pagos de seguridad social y de paraﬁscales correspondientes.</w:t>
      </w:r>
    </w:p>
    <w:p>
      <w:pPr>
        <w:pStyle w:val="Normal"/>
        <w:numPr>
          <w:ilvl w:val="0"/>
          <w:numId w:val="13"/>
        </w:numPr>
        <w:pBdr/>
        <w:tabs>
          <w:tab w:val="clear" w:pos="720"/>
          <w:tab w:val="left" w:pos="581" w:leader="none"/>
        </w:tabs>
        <w:spacing w:lineRule="auto" w:line="367" w:before="201" w:after="0"/>
        <w:ind w:left="581" w:right="402" w:hanging="360"/>
        <w:jc w:val="both"/>
        <w:rPr>
          <w:rFonts w:ascii="Helvetica Neue" w:hAnsi="Helvetica Neue" w:eastAsia="Helvetica Neue" w:cs="Helvetica Neue"/>
        </w:rPr>
      </w:pPr>
      <w:r>
        <w:rPr>
          <w:rFonts w:eastAsia="Lexend Light" w:cs="Lexend Light" w:ascii="Lexend Light" w:hAnsi="Lexend Light"/>
          <w:b/>
          <w:color w:val="EC52C1"/>
        </w:rPr>
        <w:t>Gestión de permisos para la ejecución del proyecto.</w:t>
      </w:r>
      <w:r>
        <w:rPr>
          <w:rFonts w:eastAsia="Tahoma" w:cs="Tahoma" w:ascii="Tahoma" w:hAnsi="Tahoma"/>
          <w:b/>
          <w:color w:val="EC52C1"/>
        </w:rPr>
        <w:t xml:space="preserve"> </w:t>
      </w:r>
      <w:r>
        <w:rPr>
          <w:rFonts w:eastAsia="Lexend Light" w:cs="Lexend Light" w:ascii="Lexend Light" w:hAnsi="Lexend Light"/>
          <w:color w:val="000000"/>
        </w:rPr>
        <w:t>Gestionar de manera previa a la ejecución del proyecto los respectivos permisos, autorizaciones o licencias para la intervención y uso del espacio público de acuerdo con la normatividad vigente que regula el tema, en caso que el proyecto lo requiera.</w:t>
      </w:r>
    </w:p>
    <w:p>
      <w:pPr>
        <w:pStyle w:val="Normal"/>
        <w:numPr>
          <w:ilvl w:val="0"/>
          <w:numId w:val="13"/>
        </w:numPr>
        <w:pBdr/>
        <w:tabs>
          <w:tab w:val="clear" w:pos="720"/>
          <w:tab w:val="left" w:pos="581" w:leader="none"/>
        </w:tabs>
        <w:spacing w:lineRule="auto" w:line="367" w:before="203" w:after="0"/>
        <w:ind w:left="581" w:right="411" w:hanging="360"/>
        <w:jc w:val="both"/>
        <w:rPr>
          <w:rFonts w:ascii="Helvetica Neue" w:hAnsi="Helvetica Neue" w:eastAsia="Helvetica Neue" w:cs="Helvetica Neue"/>
        </w:rPr>
      </w:pPr>
      <w:r>
        <w:rPr>
          <w:rFonts w:eastAsia="Lexend Light" w:cs="Lexend Light" w:ascii="Lexend Light" w:hAnsi="Lexend Light"/>
          <w:b/>
          <w:color w:val="EC52C1"/>
        </w:rPr>
        <w:t>Informes de ejecución.</w:t>
      </w:r>
      <w:r>
        <w:rPr>
          <w:rFonts w:eastAsia="Tahoma" w:cs="Tahoma" w:ascii="Tahoma" w:hAnsi="Tahoma"/>
          <w:b/>
          <w:color w:val="EC52C1"/>
        </w:rPr>
        <w:t xml:space="preserve"> </w:t>
      </w:r>
      <w:r>
        <w:rPr>
          <w:rFonts w:eastAsia="Lexend Light" w:cs="Lexend Light" w:ascii="Lexend Light" w:hAnsi="Lexend Light"/>
          <w:color w:val="000000"/>
        </w:rPr>
        <w:t>Presentar los informes de ejecución en los términos de oportunidad y calidad con sus respectivos soportes, según lo establecido y requerido por la entidad que otorga el apoyo, incluidos los informes parcial y ﬁnal de ejecución técnica y ﬁnanciera del proyecto apoyado.</w:t>
      </w:r>
    </w:p>
    <w:p>
      <w:pPr>
        <w:pStyle w:val="Normal"/>
        <w:numPr>
          <w:ilvl w:val="0"/>
          <w:numId w:val="13"/>
        </w:numPr>
        <w:pBdr/>
        <w:tabs>
          <w:tab w:val="clear" w:pos="720"/>
          <w:tab w:val="left" w:pos="581" w:leader="none"/>
        </w:tabs>
        <w:spacing w:lineRule="auto" w:line="367" w:before="203" w:after="0"/>
        <w:ind w:left="581" w:right="400" w:hanging="360"/>
        <w:jc w:val="both"/>
        <w:rPr>
          <w:rFonts w:ascii="Helvetica Neue" w:hAnsi="Helvetica Neue" w:eastAsia="Helvetica Neue" w:cs="Helvetica Neue"/>
        </w:rPr>
      </w:pPr>
      <w:r>
        <w:rPr>
          <w:rFonts w:eastAsia="Lexend Light" w:cs="Lexend Light" w:ascii="Lexend Light" w:hAnsi="Lexend Light"/>
          <w:b/>
          <w:color w:val="EC52C1"/>
        </w:rPr>
        <w:t>Rendimientos Financieros.</w:t>
      </w:r>
      <w:r>
        <w:rPr>
          <w:rFonts w:eastAsia="Tahoma" w:cs="Tahoma" w:ascii="Tahoma" w:hAnsi="Tahoma"/>
          <w:b/>
          <w:color w:val="EC52C1"/>
        </w:rPr>
        <w:t xml:space="preserve"> </w:t>
      </w:r>
      <w:r>
        <w:rPr>
          <w:rFonts w:eastAsia="Lexend Light" w:cs="Lexend Light" w:ascii="Lexend Light" w:hAnsi="Lexend Light"/>
          <w:color w:val="000000"/>
        </w:rPr>
        <w:t xml:space="preserve">Entregar </w:t>
      </w:r>
      <w:r>
        <w:rPr>
          <w:rFonts w:eastAsia="Lexend Light" w:cs="Lexend Light" w:ascii="Lexend Light" w:hAnsi="Lexend Light"/>
        </w:rPr>
        <w:t>de acuerdo con lo requerido por la entidad que otorga el apoyo, la</w:t>
      </w:r>
      <w:r>
        <w:rPr>
          <w:rFonts w:eastAsia="Lexend Light" w:cs="Lexend Light" w:ascii="Lexend Light" w:hAnsi="Lexend Light"/>
          <w:color w:val="000000"/>
        </w:rPr>
        <w:t xml:space="preserve"> certiﬁca</w:t>
      </w:r>
      <w:r>
        <w:rPr>
          <w:rFonts w:eastAsia="Lexend Light" w:cs="Lexend Light" w:ascii="Lexend Light" w:hAnsi="Lexend Light"/>
        </w:rPr>
        <w:t xml:space="preserve">ción </w:t>
      </w:r>
      <w:r>
        <w:rPr>
          <w:rFonts w:eastAsia="Lexend Light" w:cs="Lexend Light" w:ascii="Lexend Light" w:hAnsi="Lexend Light"/>
          <w:color w:val="000000"/>
        </w:rPr>
        <w:t>que dé cuenta de los rendimientos ﬁnancieros generados durante el tiempo de ejecución del proyecto. En caso de que no se hayan ocasionado, deberá certiﬁcar la NO generación de rendimientos ﬁnancieros.</w:t>
      </w:r>
    </w:p>
    <w:p>
      <w:pPr>
        <w:pStyle w:val="Normal"/>
        <w:numPr>
          <w:ilvl w:val="0"/>
          <w:numId w:val="13"/>
        </w:numPr>
        <w:pBdr/>
        <w:tabs>
          <w:tab w:val="clear" w:pos="720"/>
          <w:tab w:val="left" w:pos="581" w:leader="none"/>
        </w:tabs>
        <w:spacing w:lineRule="auto" w:line="367" w:before="203" w:after="0"/>
        <w:ind w:left="581" w:right="400" w:hanging="360"/>
        <w:jc w:val="both"/>
        <w:rPr>
          <w:rFonts w:ascii="Helvetica Neue" w:hAnsi="Helvetica Neue" w:eastAsia="Helvetica Neue" w:cs="Helvetica Neue"/>
        </w:rPr>
      </w:pPr>
      <w:r>
        <w:rPr>
          <w:rFonts w:eastAsia="Lexend Light" w:cs="Lexend Light" w:ascii="Lexend Light" w:hAnsi="Lexend Light"/>
          <w:b/>
          <w:color w:val="EC52C1"/>
        </w:rPr>
        <w:t>Suministrar información sobre la ejecución del contrato</w:t>
      </w:r>
      <w:r>
        <w:rPr>
          <w:rFonts w:eastAsia="Tahoma" w:cs="Tahoma" w:ascii="Tahoma" w:hAnsi="Tahoma"/>
          <w:b/>
          <w:color w:val="EC52C1"/>
        </w:rPr>
        <w:t xml:space="preserve">. </w:t>
      </w:r>
      <w:r>
        <w:rPr>
          <w:rFonts w:eastAsia="Lexend Light" w:cs="Lexend Light" w:ascii="Lexend Light" w:hAnsi="Lexend Light"/>
          <w:color w:val="000000"/>
        </w:rPr>
        <w:t>Suministrar con oportunidad la información que le sea requerida por la entidad que otorgó el apoyo, en el marco del proceso de seguimiento a la ejecución del contrato</w:t>
      </w:r>
      <w:r>
        <w:rPr>
          <w:rFonts w:eastAsia="Lexend Light" w:cs="Lexend Light" w:ascii="Lexend Light" w:hAnsi="Lexend Light"/>
        </w:rPr>
        <w:t>.</w:t>
      </w:r>
    </w:p>
    <w:p>
      <w:pPr>
        <w:pStyle w:val="Normal"/>
        <w:numPr>
          <w:ilvl w:val="0"/>
          <w:numId w:val="13"/>
        </w:numPr>
        <w:pBdr/>
        <w:tabs>
          <w:tab w:val="clear" w:pos="720"/>
          <w:tab w:val="left" w:pos="581" w:leader="none"/>
        </w:tabs>
        <w:spacing w:lineRule="auto" w:line="367" w:before="203" w:after="0"/>
        <w:ind w:left="581" w:right="412" w:hanging="360"/>
        <w:jc w:val="both"/>
        <w:rPr>
          <w:rFonts w:ascii="Helvetica Neue" w:hAnsi="Helvetica Neue" w:eastAsia="Helvetica Neue" w:cs="Helvetica Neue"/>
        </w:rPr>
      </w:pPr>
      <w:r>
        <w:rPr>
          <w:rFonts w:eastAsia="Lexend Light" w:cs="Lexend Light" w:ascii="Lexend Light" w:hAnsi="Lexend Light"/>
          <w:b/>
          <w:color w:val="EC52C1"/>
        </w:rPr>
        <w:t>Asistencia a actividades programadas.</w:t>
      </w:r>
      <w:r>
        <w:rPr>
          <w:color w:val="EC52C1"/>
        </w:rPr>
        <w:t xml:space="preserve"> </w:t>
      </w:r>
      <w:r>
        <w:rPr>
          <w:rFonts w:eastAsia="Lexend Light" w:cs="Lexend Light" w:ascii="Lexend Light" w:hAnsi="Lexend Light"/>
          <w:color w:val="000000"/>
        </w:rPr>
        <w:t>Participar en todas las reuniones y actividades a las cuales sea convocada por la SCRD o por la entidad que otorga el apoyo.</w:t>
      </w:r>
    </w:p>
    <w:p>
      <w:pPr>
        <w:pStyle w:val="Normal"/>
        <w:numPr>
          <w:ilvl w:val="0"/>
          <w:numId w:val="13"/>
        </w:numPr>
        <w:pBdr/>
        <w:tabs>
          <w:tab w:val="clear" w:pos="720"/>
          <w:tab w:val="left" w:pos="581" w:leader="none"/>
        </w:tabs>
        <w:spacing w:lineRule="auto" w:line="367" w:before="99" w:after="0"/>
        <w:ind w:left="581" w:right="409" w:hanging="360"/>
        <w:jc w:val="both"/>
        <w:rPr/>
      </w:pPr>
      <w:r>
        <w:rPr>
          <w:rFonts w:eastAsia="Lexend Light" w:cs="Lexend Light" w:ascii="Lexend Light" w:hAnsi="Lexend Light"/>
          <w:b/>
          <w:color w:val="EC52C1"/>
        </w:rPr>
        <w:t>Programa de Fortalecimiento a Agentes del Sector - PFAS.</w:t>
      </w:r>
      <w:r>
        <w:rPr>
          <w:rFonts w:eastAsia="Tahoma" w:cs="Tahoma" w:ascii="Tahoma" w:hAnsi="Tahoma"/>
          <w:b/>
          <w:color w:val="EC52C1"/>
        </w:rPr>
        <w:t xml:space="preserve"> </w:t>
      </w:r>
      <w:r>
        <w:rPr>
          <w:rFonts w:eastAsia="Lexend Light" w:cs="Lexend Light" w:ascii="Lexend Light" w:hAnsi="Lexend Light"/>
          <w:color w:val="000000"/>
        </w:rPr>
        <w:t>Participar cuando sea convocada, en las actividades del PFAS, según las recomendaciones realizadas por la entidad evaluadora o por los profesionales encargados del apoyo a la supervisión (o la interventoría) a la ejecución del contrato.</w:t>
      </w:r>
    </w:p>
    <w:p>
      <w:pPr>
        <w:pStyle w:val="Normal"/>
        <w:numPr>
          <w:ilvl w:val="0"/>
          <w:numId w:val="13"/>
        </w:numPr>
        <w:pBdr/>
        <w:tabs>
          <w:tab w:val="clear" w:pos="720"/>
          <w:tab w:val="left" w:pos="581" w:leader="none"/>
        </w:tabs>
        <w:spacing w:lineRule="auto" w:line="367" w:before="201" w:after="0"/>
        <w:ind w:left="581" w:right="408" w:hanging="360"/>
        <w:jc w:val="both"/>
        <w:rPr>
          <w:rFonts w:ascii="Helvetica Neue" w:hAnsi="Helvetica Neue" w:eastAsia="Helvetica Neue" w:cs="Helvetica Neue"/>
        </w:rPr>
      </w:pPr>
      <w:r>
        <w:rPr>
          <w:rFonts w:eastAsia="Lexend Light" w:cs="Lexend Light" w:ascii="Lexend Light" w:hAnsi="Lexend Light"/>
          <w:b/>
          <w:color w:val="EC52C1"/>
        </w:rPr>
        <w:t>Diligenciamiento de encuesta.</w:t>
      </w:r>
      <w:r>
        <w:rPr>
          <w:rFonts w:eastAsia="Tahoma" w:cs="Tahoma" w:ascii="Tahoma" w:hAnsi="Tahoma"/>
          <w:b/>
          <w:color w:val="EC52C1"/>
        </w:rPr>
        <w:t xml:space="preserve"> </w:t>
      </w:r>
      <w:r>
        <w:rPr>
          <w:rFonts w:eastAsia="Lexend Light" w:cs="Lexend Light" w:ascii="Lexend Light" w:hAnsi="Lexend Light"/>
          <w:color w:val="000000"/>
        </w:rPr>
        <w:t>Diligenciar la encuesta que solicite la entidad que otorga el apoyo, al ﬁnalizar la ejecución del contrato.</w:t>
      </w:r>
    </w:p>
    <w:p>
      <w:pPr>
        <w:pStyle w:val="Normal"/>
        <w:numPr>
          <w:ilvl w:val="0"/>
          <w:numId w:val="13"/>
        </w:numPr>
        <w:pBdr/>
        <w:tabs>
          <w:tab w:val="clear" w:pos="720"/>
          <w:tab w:val="left" w:pos="581" w:leader="none"/>
        </w:tabs>
        <w:spacing w:lineRule="auto" w:line="367" w:before="202" w:after="0"/>
        <w:ind w:left="581" w:right="399" w:hanging="360"/>
        <w:jc w:val="both"/>
        <w:rPr>
          <w:rFonts w:ascii="Helvetica Neue" w:hAnsi="Helvetica Neue" w:eastAsia="Helvetica Neue" w:cs="Helvetica Neue"/>
        </w:rPr>
      </w:pPr>
      <w:r>
        <w:rPr>
          <w:rFonts w:eastAsia="Lexend Light" w:cs="Lexend Light" w:ascii="Lexend Light" w:hAnsi="Lexend Light"/>
          <w:b/>
          <w:color w:val="EC52C1"/>
        </w:rPr>
        <w:t>Cumplimiento de protocolos de bioseguridad.</w:t>
      </w:r>
      <w:r>
        <w:rPr>
          <w:rFonts w:eastAsia="Tahoma" w:cs="Tahoma" w:ascii="Tahoma" w:hAnsi="Tahoma"/>
          <w:b/>
          <w:color w:val="EC52C1"/>
        </w:rPr>
        <w:t xml:space="preserve"> </w:t>
      </w:r>
      <w:r>
        <w:rPr>
          <w:rFonts w:eastAsia="Lexend Light" w:cs="Lexend Light" w:ascii="Lexend Light" w:hAnsi="Lexend Light"/>
          <w:color w:val="000000"/>
        </w:rPr>
        <w:t>Cumplir con las medidas sanitarias y protocolos de bioseguridad vigentes a la fecha de ejecución del proyecto apoyado.</w:t>
      </w:r>
    </w:p>
    <w:p>
      <w:pPr>
        <w:sectPr>
          <w:headerReference w:type="default" r:id="rId30"/>
          <w:footerReference w:type="default" r:id="rId31"/>
          <w:type w:val="nextPage"/>
          <w:pgSz w:w="12240" w:h="15840"/>
          <w:pgMar w:left="1480" w:right="1300" w:header="30" w:top="1500" w:footer="1701" w:bottom="1980" w:gutter="0"/>
          <w:pgNumType w:fmt="decimal"/>
          <w:formProt w:val="false"/>
          <w:textDirection w:val="lrTb"/>
          <w:docGrid w:type="default" w:linePitch="100" w:charSpace="4096"/>
        </w:sectPr>
        <w:pStyle w:val="Normal"/>
        <w:numPr>
          <w:ilvl w:val="0"/>
          <w:numId w:val="13"/>
        </w:numPr>
        <w:pBdr/>
        <w:tabs>
          <w:tab w:val="clear" w:pos="720"/>
          <w:tab w:val="left" w:pos="581" w:leader="none"/>
        </w:tabs>
        <w:spacing w:lineRule="auto" w:line="372" w:before="203" w:after="0"/>
        <w:ind w:left="581" w:right="410" w:hanging="360"/>
        <w:jc w:val="both"/>
        <w:rPr>
          <w:rFonts w:ascii="Lexend Light" w:hAnsi="Lexend Light" w:eastAsia="Lexend Light" w:cs="Lexend Light"/>
        </w:rPr>
      </w:pPr>
      <w:r>
        <w:rPr>
          <w:rFonts w:eastAsia="Lexend Light" w:cs="Lexend Light" w:ascii="Lexend Light" w:hAnsi="Lexend Light"/>
          <w:b/>
          <w:color w:val="EC52C1"/>
        </w:rPr>
        <w:t xml:space="preserve">Registro PULEP. </w:t>
      </w:r>
      <w:r>
        <w:rPr>
          <w:rFonts w:eastAsia="Lexend Light" w:cs="Lexend Light" w:ascii="Lexend Light" w:hAnsi="Lexend Light"/>
          <w:color w:val="000000"/>
        </w:rPr>
        <w:t xml:space="preserve">Para entidades apoyadas en la línea de participación </w:t>
      </w:r>
      <w:r>
        <w:rPr>
          <w:rFonts w:eastAsia="Lexend Light" w:cs="Lexend Light" w:ascii="Lexend Light" w:hAnsi="Lexend Light"/>
          <w:i/>
        </w:rPr>
        <w:t>Procesos de producción y circulación de espectáculos de las artes escénicas. Recursos de la Contribución Parafiscal Cultural - Ley de Espectáculos Públicos-LEP</w:t>
      </w:r>
      <w:r>
        <w:rPr>
          <w:rFonts w:eastAsia="Lexend Light" w:cs="Lexend Light" w:ascii="Lexend Light" w:hAnsi="Lexend Light"/>
        </w:rPr>
        <w:t>,</w:t>
      </w:r>
      <w:r>
        <w:rPr>
          <w:rFonts w:eastAsia="Lexend Light" w:cs="Lexend Light" w:ascii="Lexend Light" w:hAnsi="Lexend Light"/>
          <w:color w:val="000000"/>
        </w:rPr>
        <w:t xml:space="preserve"> realizar en la plataforma PULEP el registro de los eventos que se realizarán en el desarrollo del proyecto.</w:t>
      </w:r>
    </w:p>
    <w:p>
      <w:pPr>
        <w:pStyle w:val="Normal"/>
        <w:pBdr/>
        <w:rPr>
          <w:color w:val="000000"/>
          <w:sz w:val="20"/>
          <w:szCs w:val="20"/>
        </w:rPr>
      </w:pPr>
      <w:r>
        <w:rPr>
          <w:color w:val="000000"/>
          <w:sz w:val="20"/>
          <w:szCs w:val="20"/>
        </w:rPr>
      </w:r>
    </w:p>
    <w:p>
      <w:pPr>
        <w:pStyle w:val="Normal"/>
        <w:pBdr/>
        <w:rPr>
          <w:color w:val="000000"/>
          <w:sz w:val="20"/>
          <w:szCs w:val="20"/>
        </w:rPr>
      </w:pPr>
      <w:r>
        <w:rPr>
          <w:color w:val="000000"/>
          <w:sz w:val="20"/>
          <w:szCs w:val="20"/>
        </w:rPr>
      </w:r>
    </w:p>
    <w:p>
      <w:pPr>
        <w:pStyle w:val="Normal"/>
        <w:pBdr/>
        <w:spacing w:before="6" w:after="0"/>
        <w:rPr>
          <w:color w:val="000000"/>
          <w:sz w:val="17"/>
          <w:szCs w:val="17"/>
        </w:rPr>
      </w:pPr>
      <w:r>
        <w:rPr>
          <w:color w:val="000000"/>
          <w:sz w:val="17"/>
          <w:szCs w:val="17"/>
        </w:rPr>
      </w:r>
    </w:p>
    <w:p>
      <w:pPr>
        <w:pStyle w:val="Ttulo1"/>
        <w:numPr>
          <w:ilvl w:val="0"/>
          <w:numId w:val="3"/>
        </w:numPr>
        <w:tabs>
          <w:tab w:val="clear" w:pos="720"/>
          <w:tab w:val="left" w:pos="641" w:leader="none"/>
        </w:tabs>
        <w:rPr>
          <w:rFonts w:ascii="Lexend Light" w:hAnsi="Lexend Light" w:eastAsia="Lexend Light" w:cs="Lexend Light"/>
        </w:rPr>
      </w:pPr>
      <w:r>
        <w:rPr>
          <w:rFonts w:eastAsia="Lexend Light" w:cs="Lexend Light" w:ascii="Lexend Light" w:hAnsi="Lexend Light"/>
          <w:color w:val="2E5395"/>
        </w:rPr>
        <w:t>Deberes la entidad que otorga el apoyo</w:t>
      </w:r>
    </w:p>
    <w:p>
      <w:pPr>
        <w:pStyle w:val="Ttulo2"/>
        <w:numPr>
          <w:ilvl w:val="1"/>
          <w:numId w:val="3"/>
        </w:numPr>
        <w:tabs>
          <w:tab w:val="clear" w:pos="720"/>
          <w:tab w:val="left" w:pos="1300" w:leader="none"/>
          <w:tab w:val="left" w:pos="1301" w:leader="none"/>
          <w:tab w:val="left" w:pos="2603" w:leader="none"/>
          <w:tab w:val="left" w:pos="3308" w:leader="none"/>
        </w:tabs>
        <w:spacing w:lineRule="auto" w:line="247" w:before="254" w:after="0"/>
        <w:ind w:left="1016" w:right="413" w:hanging="435"/>
        <w:rPr>
          <w:rFonts w:ascii="Lexend Light" w:hAnsi="Lexend Light" w:eastAsia="Lexend Light" w:cs="Lexend Light"/>
        </w:rPr>
      </w:pPr>
      <w:r>
        <w:rPr>
          <w:rFonts w:eastAsia="Lexend Light" w:cs="Lexend Light" w:ascii="Lexend Light" w:hAnsi="Lexend Light"/>
          <w:color w:val="2E5395"/>
        </w:rPr>
        <w:t>¿Cuáles son los deberes de la entidad del Sector Cultura que otorga el apoyo?</w:t>
      </w:r>
    </w:p>
    <w:p>
      <w:pPr>
        <w:pStyle w:val="Normal"/>
        <w:pBdr/>
        <w:tabs>
          <w:tab w:val="clear" w:pos="720"/>
          <w:tab w:val="left" w:pos="581" w:leader="none"/>
        </w:tabs>
        <w:spacing w:lineRule="auto" w:line="360" w:before="240" w:after="0"/>
        <w:ind w:left="641" w:hanging="0"/>
        <w:jc w:val="both"/>
        <w:rPr>
          <w:rFonts w:ascii="Helvetica Neue" w:hAnsi="Helvetica Neue" w:eastAsia="Helvetica Neue" w:cs="Helvetica Neue"/>
          <w:color w:val="EC52C1"/>
        </w:rPr>
      </w:pPr>
      <w:r>
        <w:rPr>
          <w:rFonts w:eastAsia="Lexend Light" w:cs="Lexend Light" w:ascii="Lexend Light" w:hAnsi="Lexend Light"/>
          <w:color w:val="000000"/>
        </w:rPr>
        <w:t>A continuación, se encuentran relacionados los deberes que tiene la entidad del sector cultura que otorga el apoyo:</w:t>
      </w:r>
    </w:p>
    <w:p>
      <w:pPr>
        <w:pStyle w:val="Normal"/>
        <w:numPr>
          <w:ilvl w:val="0"/>
          <w:numId w:val="13"/>
        </w:numPr>
        <w:pBdr/>
        <w:tabs>
          <w:tab w:val="clear" w:pos="720"/>
          <w:tab w:val="left" w:pos="581" w:leader="none"/>
        </w:tabs>
        <w:spacing w:lineRule="auto" w:line="367" w:before="196" w:after="0"/>
        <w:ind w:left="581" w:right="402" w:hanging="360"/>
        <w:jc w:val="both"/>
        <w:rPr>
          <w:rFonts w:ascii="Helvetica Neue" w:hAnsi="Helvetica Neue" w:eastAsia="Helvetica Neue" w:cs="Helvetica Neue"/>
        </w:rPr>
      </w:pPr>
      <w:r>
        <w:rPr>
          <w:rFonts w:eastAsia="Lexend Light" w:cs="Lexend Light" w:ascii="Lexend Light" w:hAnsi="Lexend Light"/>
          <w:b/>
          <w:color w:val="EC52C1"/>
        </w:rPr>
        <w:t>Supervisar la ejecución del contrato con la entidad apoyada.</w:t>
      </w:r>
      <w:r>
        <w:rPr>
          <w:color w:val="EC52C1"/>
        </w:rPr>
        <w:t xml:space="preserve"> </w:t>
      </w:r>
      <w:r>
        <w:rPr>
          <w:rFonts w:eastAsia="Lexend Light" w:cs="Lexend Light" w:ascii="Lexend Light" w:hAnsi="Lexend Light"/>
          <w:color w:val="000000"/>
        </w:rPr>
        <w:t>Realizar la supervisión técnica, administrativa y ﬁnanciera a la ejecución del contrato por parte de la entidad ejecutora, velando por el cumplimiento de las obligaciones del contrato y de los deberes de la entidad apoyada establecidos en las Condiciones Generales de Participación del PDAC.</w:t>
      </w:r>
    </w:p>
    <w:p>
      <w:pPr>
        <w:pStyle w:val="Normal"/>
        <w:numPr>
          <w:ilvl w:val="0"/>
          <w:numId w:val="13"/>
        </w:numPr>
        <w:pBdr/>
        <w:tabs>
          <w:tab w:val="clear" w:pos="720"/>
          <w:tab w:val="left" w:pos="581" w:leader="none"/>
        </w:tabs>
        <w:spacing w:lineRule="auto" w:line="367" w:before="222" w:after="0"/>
        <w:ind w:left="581" w:right="402" w:hanging="360"/>
        <w:jc w:val="both"/>
        <w:rPr>
          <w:rFonts w:ascii="Helvetica Neue" w:hAnsi="Helvetica Neue" w:eastAsia="Helvetica Neue" w:cs="Helvetica Neue"/>
        </w:rPr>
      </w:pPr>
      <w:r>
        <w:rPr>
          <w:rFonts w:eastAsia="Lexend Light" w:cs="Lexend Light" w:ascii="Lexend Light" w:hAnsi="Lexend Light"/>
          <w:b/>
          <w:color w:val="EC52C1"/>
        </w:rPr>
        <w:t>Tramitar pagos.</w:t>
      </w:r>
      <w:r>
        <w:rPr>
          <w:rFonts w:eastAsia="Tahoma" w:cs="Tahoma" w:ascii="Tahoma" w:hAnsi="Tahoma"/>
          <w:b/>
          <w:color w:val="EC52C1"/>
        </w:rPr>
        <w:t xml:space="preserve"> </w:t>
      </w:r>
      <w:r>
        <w:rPr>
          <w:rFonts w:eastAsia="Lexend Light" w:cs="Lexend Light" w:ascii="Lexend Light" w:hAnsi="Lexend Light"/>
          <w:color w:val="000000"/>
        </w:rPr>
        <w:t>Gestionar los desembolsos correspondientes a la entidad apoyada en los términos acordados en el contrato, previo cumplimiento de los requisitos y disposición de su programa anual mensualizado de caja-PAC.</w:t>
      </w:r>
    </w:p>
    <w:p>
      <w:pPr>
        <w:pStyle w:val="Normal"/>
        <w:numPr>
          <w:ilvl w:val="0"/>
          <w:numId w:val="13"/>
        </w:numPr>
        <w:pBdr/>
        <w:tabs>
          <w:tab w:val="clear" w:pos="720"/>
          <w:tab w:val="left" w:pos="581" w:leader="none"/>
        </w:tabs>
        <w:spacing w:lineRule="auto" w:line="367" w:before="203" w:after="0"/>
        <w:ind w:left="581" w:right="399" w:hanging="360"/>
        <w:jc w:val="both"/>
        <w:rPr>
          <w:rFonts w:ascii="Lexend Light" w:hAnsi="Lexend Light" w:eastAsia="Lexend Light" w:cs="Lexend Light"/>
        </w:rPr>
      </w:pPr>
      <w:r>
        <w:rPr>
          <w:rFonts w:eastAsia="Lexend Light" w:cs="Lexend Light" w:ascii="Lexend Light" w:hAnsi="Lexend Light"/>
          <w:b/>
          <w:color w:val="EC52C1"/>
        </w:rPr>
        <w:t>Apoyar la difusión y divulgación de actividades del proyecto apoyado.</w:t>
      </w:r>
      <w:r>
        <w:rPr>
          <w:rFonts w:eastAsia="Tahoma" w:cs="Tahoma" w:ascii="Tahoma" w:hAnsi="Tahoma"/>
          <w:b/>
          <w:color w:val="EC52C1"/>
        </w:rPr>
        <w:t xml:space="preserve"> </w:t>
      </w:r>
      <w:r>
        <w:rPr>
          <w:rFonts w:eastAsia="Lexend Light" w:cs="Lexend Light" w:ascii="Lexend Light" w:hAnsi="Lexend Light"/>
          <w:color w:val="000000"/>
        </w:rPr>
        <w:t xml:space="preserve">Apoyar la difusión y divulgación de las actividades de los proyectos apoyados, dentro del ámbito de las funciones que le sean propias y conforme a sus términos y a su disponibilidad de recursos para tal efecto. </w:t>
      </w:r>
    </w:p>
    <w:p>
      <w:pPr>
        <w:pStyle w:val="Normal"/>
        <w:pBdr/>
        <w:tabs>
          <w:tab w:val="clear" w:pos="720"/>
          <w:tab w:val="left" w:pos="581" w:leader="none"/>
        </w:tabs>
        <w:spacing w:lineRule="auto" w:line="367" w:before="203" w:after="0"/>
        <w:ind w:left="581" w:right="399" w:hanging="0"/>
        <w:jc w:val="both"/>
        <w:rPr>
          <w:rFonts w:ascii="Lexend Light" w:hAnsi="Lexend Light" w:eastAsia="Lexend Light" w:cs="Lexend Light"/>
          <w:color w:val="000000"/>
        </w:rPr>
      </w:pPr>
      <w:r>
        <w:rPr>
          <w:rFonts w:eastAsia="Lexend Light" w:cs="Lexend Light" w:ascii="Lexend Light" w:hAnsi="Lexend Light"/>
          <w:color w:val="000000"/>
        </w:rPr>
        <w:t xml:space="preserve">Es </w:t>
      </w:r>
      <w:r>
        <w:rPr>
          <w:rFonts w:eastAsia="Lexend Light" w:cs="Lexend Light" w:ascii="Lexend Light" w:hAnsi="Lexend Light"/>
          <w:color w:val="EC52C1"/>
        </w:rPr>
        <w:t>MUY IMPORTANTE</w:t>
      </w:r>
      <w:r>
        <w:rPr>
          <w:rFonts w:eastAsia="Lexend Light" w:cs="Lexend Light" w:ascii="Lexend Light" w:hAnsi="Lexend Light"/>
          <w:color w:val="000000"/>
        </w:rPr>
        <w:t xml:space="preserve"> aclarar, que la difusión y divulgación de las actividades de su proyecto es responsabilidad exclusiva de la entidad apoyada.</w:t>
      </w:r>
    </w:p>
    <w:p>
      <w:pPr>
        <w:pStyle w:val="Normal"/>
        <w:numPr>
          <w:ilvl w:val="0"/>
          <w:numId w:val="13"/>
        </w:numPr>
        <w:pBdr/>
        <w:tabs>
          <w:tab w:val="clear" w:pos="720"/>
          <w:tab w:val="left" w:pos="581" w:leader="none"/>
        </w:tabs>
        <w:spacing w:lineRule="auto" w:line="367" w:before="203" w:after="0"/>
        <w:ind w:left="581" w:right="404" w:hanging="360"/>
        <w:jc w:val="both"/>
        <w:rPr>
          <w:rFonts w:ascii="Helvetica Neue" w:hAnsi="Helvetica Neue" w:eastAsia="Helvetica Neue" w:cs="Helvetica Neue"/>
        </w:rPr>
      </w:pPr>
      <w:r>
        <w:rPr>
          <w:rFonts w:eastAsia="Lexend Light" w:cs="Lexend Light" w:ascii="Lexend Light" w:hAnsi="Lexend Light"/>
          <w:b/>
          <w:color w:val="EC52C1"/>
        </w:rPr>
        <w:t>Aplicar medidas correspondientes en caso de incumplimiento.</w:t>
      </w:r>
      <w:r>
        <w:rPr>
          <w:rFonts w:eastAsia="Tahoma" w:cs="Tahoma" w:ascii="Tahoma" w:hAnsi="Tahoma"/>
          <w:b/>
          <w:color w:val="EC52C1"/>
        </w:rPr>
        <w:t xml:space="preserve"> </w:t>
      </w:r>
      <w:r>
        <w:rPr>
          <w:rFonts w:eastAsia="Lexend Light" w:cs="Lexend Light" w:ascii="Lexend Light" w:hAnsi="Lexend Light"/>
          <w:color w:val="000000"/>
        </w:rPr>
        <w:t>Implementar las medidas correspondientes en caso de evidenciar que la entidad apoyada incurra en:</w:t>
      </w:r>
    </w:p>
    <w:p>
      <w:pPr>
        <w:pStyle w:val="Normal"/>
        <w:pBdr/>
        <w:spacing w:lineRule="auto" w:line="362" w:before="203" w:after="0"/>
        <w:ind w:left="1301" w:right="399" w:hanging="360"/>
        <w:jc w:val="both"/>
        <w:rPr>
          <w:color w:val="000000"/>
        </w:rPr>
      </w:pPr>
      <w:r>
        <w:rPr>
          <w:rFonts w:eastAsia="MS PGothic" w:cs="MS PGothic" w:ascii="MS PGothic" w:hAnsi="MS PGothic"/>
          <w:color w:val="EC52C1"/>
        </w:rPr>
        <w:t xml:space="preserve">✔ </w:t>
      </w:r>
      <w:r>
        <w:rPr>
          <w:rFonts w:eastAsia="Lexend Light" w:cs="Lexend Light" w:ascii="Lexend Light" w:hAnsi="Lexend Light"/>
          <w:color w:val="000000"/>
        </w:rPr>
        <w:t>Una situación de incumplimiento de las obligaciones del contrato (aplicando las normas del estatuto general de contratación y la especíﬁca en materia de contratos estatales consagrada en el artículo 86 de la ley 1474 de 2011) o de los deberes de la entidad apoyada.</w:t>
      </w:r>
    </w:p>
    <w:p>
      <w:pPr>
        <w:pStyle w:val="Normal"/>
        <w:pBdr/>
        <w:spacing w:lineRule="auto" w:line="348" w:before="12" w:after="0"/>
        <w:ind w:left="1301" w:right="408" w:hanging="360"/>
        <w:jc w:val="both"/>
        <w:rPr>
          <w:color w:val="000000"/>
        </w:rPr>
      </w:pPr>
      <w:r>
        <w:rPr>
          <w:rFonts w:eastAsia="MS PGothic" w:cs="MS PGothic" w:ascii="MS PGothic" w:hAnsi="MS PGothic"/>
          <w:color w:val="EC52C1"/>
        </w:rPr>
        <w:t xml:space="preserve">✔ </w:t>
      </w:r>
      <w:r>
        <w:rPr>
          <w:rFonts w:eastAsia="Lexend Light" w:cs="Lexend Light" w:ascii="Lexend Light" w:hAnsi="Lexend Light"/>
          <w:color w:val="000000"/>
        </w:rPr>
        <w:t>Una inhabilidad o incompatibilidad contemplada en las condiciones generales de participación.</w:t>
      </w:r>
    </w:p>
    <w:p>
      <w:pPr>
        <w:pStyle w:val="Normal"/>
        <w:widowControl/>
        <w:numPr>
          <w:ilvl w:val="0"/>
          <w:numId w:val="13"/>
        </w:numPr>
        <w:pBdr/>
        <w:spacing w:lineRule="auto" w:line="360" w:before="200" w:after="0"/>
        <w:jc w:val="both"/>
        <w:rPr>
          <w:rFonts w:ascii="Lexend Light" w:hAnsi="Lexend Light" w:eastAsia="Lexend Light" w:cs="Lexend Light"/>
        </w:rPr>
      </w:pPr>
      <w:r>
        <w:rPr>
          <w:rFonts w:eastAsia="Lexend Light" w:cs="Lexend Light" w:ascii="Lexend Light" w:hAnsi="Lexend Light"/>
          <w:b/>
          <w:color w:val="ED4FD0"/>
        </w:rPr>
        <w:t>Imponer multas, sanciones y declaratorias de incumplimiento</w:t>
      </w:r>
      <w:r>
        <w:rPr>
          <w:rFonts w:eastAsia="Arial" w:cs="Arial" w:ascii="Arial" w:hAnsi="Arial"/>
          <w:i/>
          <w:color w:val="ED4FD0"/>
          <w:sz w:val="25"/>
          <w:szCs w:val="25"/>
          <w:highlight w:val="white"/>
        </w:rPr>
        <w:t>.</w:t>
      </w:r>
      <w:r>
        <w:rPr>
          <w:rFonts w:eastAsia="Lexend Light" w:cs="Lexend Light" w:ascii="Lexend Light" w:hAnsi="Lexend Light"/>
        </w:rPr>
        <w:t xml:space="preserve"> Aplicar las normas del estatuto general de contratación y la específica en materia de contratos estatales consagrada en el artículo 86 de la ley 1474 de 2011.</w:t>
      </w:r>
    </w:p>
    <w:p>
      <w:pPr>
        <w:pStyle w:val="Normal"/>
        <w:pBdr/>
        <w:tabs>
          <w:tab w:val="clear" w:pos="720"/>
          <w:tab w:val="left" w:pos="581" w:leader="none"/>
        </w:tabs>
        <w:spacing w:lineRule="auto" w:line="367" w:before="203" w:after="0"/>
        <w:ind w:left="581" w:right="399" w:hanging="0"/>
        <w:jc w:val="both"/>
        <w:rPr>
          <w:rFonts w:ascii="Lexend Light" w:hAnsi="Lexend Light" w:eastAsia="Lexend Light" w:cs="Lexend Light"/>
          <w:color w:val="000000"/>
        </w:rPr>
      </w:pPr>
      <w:r>
        <w:rPr>
          <w:rFonts w:eastAsia="Lexend Light" w:cs="Lexend Light" w:ascii="Lexend Light" w:hAnsi="Lexend Light"/>
          <w:color w:val="000000"/>
        </w:rPr>
      </w:r>
    </w:p>
    <w:p>
      <w:pPr>
        <w:pStyle w:val="Normal"/>
        <w:pBdr/>
        <w:rPr>
          <w:color w:val="000000"/>
          <w:sz w:val="20"/>
          <w:szCs w:val="20"/>
        </w:rPr>
      </w:pPr>
      <w:r>
        <w:rPr>
          <w:color w:val="000000"/>
          <w:sz w:val="20"/>
          <w:szCs w:val="20"/>
        </w:rPr>
      </w:r>
    </w:p>
    <w:p>
      <w:pPr>
        <w:pStyle w:val="Normal"/>
        <w:rPr>
          <w:rFonts w:ascii="Lexend" w:hAnsi="Lexend" w:eastAsia="Lexend" w:cs="Lexend"/>
          <w:b/>
          <w:b/>
          <w:color w:val="382263"/>
          <w:sz w:val="60"/>
          <w:szCs w:val="60"/>
        </w:rPr>
      </w:pPr>
      <w:r>
        <w:rPr>
          <w:rFonts w:eastAsia="Lexend" w:cs="Lexend" w:ascii="Lexend" w:hAnsi="Lexend"/>
          <w:b/>
          <w:color w:val="382263"/>
          <w:sz w:val="56"/>
          <w:szCs w:val="56"/>
        </w:rPr>
        <w:t>Contacto</w:t>
      </w:r>
      <w:r>
        <w:rPr>
          <w:rFonts w:eastAsia="Lexend" w:cs="Lexend" w:ascii="Lexend" w:hAnsi="Lexend"/>
          <w:b/>
          <w:color w:val="382263"/>
          <w:sz w:val="60"/>
          <w:szCs w:val="60"/>
        </w:rPr>
        <w:t>:</w:t>
      </w:r>
    </w:p>
    <w:p>
      <w:pPr>
        <w:pStyle w:val="Normal"/>
        <w:jc w:val="both"/>
        <w:rPr>
          <w:rFonts w:ascii="Lexend" w:hAnsi="Lexend" w:eastAsia="Lexend" w:cs="Lexend"/>
          <w:color w:val="434343"/>
          <w:sz w:val="24"/>
          <w:szCs w:val="24"/>
        </w:rPr>
      </w:pPr>
      <w:r>
        <w:rPr>
          <w:rFonts w:eastAsia="Lexend" w:cs="Lexend" w:ascii="Lexend" w:hAnsi="Lexend"/>
          <w:color w:val="434343"/>
          <w:sz w:val="24"/>
          <w:szCs w:val="24"/>
        </w:rPr>
        <w:t>Dirección de Fomento</w:t>
      </w:r>
    </w:p>
    <w:p>
      <w:pPr>
        <w:pStyle w:val="Normal"/>
        <w:jc w:val="both"/>
        <w:rPr>
          <w:rFonts w:ascii="Lexend" w:hAnsi="Lexend" w:eastAsia="Lexend" w:cs="Lexend"/>
          <w:color w:val="434343"/>
          <w:sz w:val="24"/>
          <w:szCs w:val="24"/>
        </w:rPr>
      </w:pPr>
      <w:r>
        <w:rPr>
          <w:rFonts w:eastAsia="Lexend" w:cs="Lexend" w:ascii="Lexend" w:hAnsi="Lexend"/>
          <w:color w:val="434343"/>
          <w:sz w:val="24"/>
          <w:szCs w:val="24"/>
        </w:rPr>
        <w:t>Secretaría de Cultura, Recreación y Deporte</w:t>
      </w:r>
    </w:p>
    <w:p>
      <w:pPr>
        <w:pStyle w:val="Normal"/>
        <w:jc w:val="both"/>
        <w:rPr>
          <w:rFonts w:ascii="Lexend" w:hAnsi="Lexend" w:eastAsia="Lexend" w:cs="Lexend"/>
          <w:color w:val="666666"/>
          <w:sz w:val="20"/>
          <w:szCs w:val="20"/>
        </w:rPr>
      </w:pPr>
      <w:r>
        <w:rPr>
          <w:rFonts w:eastAsia="Lexend" w:cs="Lexend" w:ascii="Lexend" w:hAnsi="Lexend"/>
          <w:color w:val="666666"/>
          <w:sz w:val="24"/>
          <w:szCs w:val="24"/>
        </w:rPr>
        <w:t>Cra 8 # 9 -83, Bogotá - Colombia - Conmutador (601) 327 48 50</w:t>
      </w:r>
    </w:p>
    <w:p>
      <w:pPr>
        <w:pStyle w:val="Normal"/>
        <w:widowControl/>
        <w:pBdr/>
        <w:spacing w:before="0" w:after="160"/>
        <w:rPr/>
      </w:pPr>
      <w:r>
        <w:rPr>
          <w:rFonts w:eastAsia="Lexend" w:cs="Lexend" w:ascii="Lexend" w:hAnsi="Lexend"/>
          <w:color w:val="ED4FD0"/>
          <w:sz w:val="52"/>
          <w:szCs w:val="52"/>
        </w:rPr>
        <w:t>convocatorias@scrd.gov</w:t>
      </w:r>
    </w:p>
    <w:sectPr>
      <w:headerReference w:type="default" r:id="rId32"/>
      <w:footerReference w:type="default" r:id="rId33"/>
      <w:type w:val="nextPage"/>
      <w:pgSz w:w="12240" w:h="15840"/>
      <w:pgMar w:left="1480" w:right="1300" w:header="30" w:top="1500" w:footer="1701" w:bottom="19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Tahoma">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Lexend">
    <w:charset w:val="00"/>
    <w:family w:val="roman"/>
    <w:pitch w:val="variable"/>
  </w:font>
  <w:font w:name="Arial">
    <w:charset w:val="00"/>
    <w:family w:val="roman"/>
    <w:pitch w:val="variable"/>
  </w:font>
  <w:font w:name="Helvetica Neue">
    <w:charset w:val="00"/>
    <w:family w:val="roman"/>
    <w:pitch w:val="variable"/>
  </w:font>
  <w:font w:name="Lexend Light">
    <w:charset w:val="00"/>
    <w:family w:val="roman"/>
    <w:pitch w:val="variable"/>
  </w:font>
  <w:font w:name="Roboto">
    <w:charset w:val="00"/>
    <w:family w:val="roman"/>
    <w:pitch w:val="variable"/>
  </w:font>
  <w:font w:name="MS PGothic">
    <w:charset w:val="00"/>
    <w:family w:val="roman"/>
    <w:pitch w:val="variable"/>
  </w:font>
  <w:font w:name="Lexend Medium">
    <w:charset w:val="00"/>
    <w:family w:val="roman"/>
    <w:pitch w:val="variable"/>
  </w:font>
  <w:font w:name="Arial">
    <w:charset w:val="01"/>
    <w:family w:val="swiss"/>
    <w:pitch w:val="variable"/>
  </w:font>
  <w:font w:name="Symbol">
    <w:charset w:val="02"/>
    <w:family w:val="auto"/>
    <w:pitch w:val="default"/>
  </w:font>
  <w:font w:name="Helvetica Neue">
    <w:charset w:val="01"/>
    <w:family w:val="auto"/>
    <w:pitch w:val="default"/>
  </w:font>
  <w:font w:name="Wingdings">
    <w:charset w:val="02"/>
    <w:family w:val="auto"/>
    <w:pitch w:val="default"/>
  </w:font>
  <w:font w:name="Courier New">
    <w:charset w:val="01"/>
    <w:family w:val="modern"/>
    <w:pitch w:val="fixed"/>
  </w:font>
  <w:font w:name="Noto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jc w:val="right"/>
      <w:rPr/>
    </w:pPr>
    <w:r>
      <w:rPr>
        <w:sz w:val="20"/>
        <w:szCs w:val="20"/>
      </w:rPr>
      <w:fldChar w:fldCharType="begin"/>
      <mc:AlternateContent>
        <mc:Choice Requires="wps">
          <w:drawing>
            <wp:anchor behindDoc="1" distT="0" distB="0" distL="0" distR="0" simplePos="0" locked="0" layoutInCell="1" allowOverlap="1" relativeHeight="116" wp14:anchorId="10A023BA">
              <wp:simplePos x="0" y="0"/>
              <wp:positionH relativeFrom="column">
                <wp:posOffset>203200</wp:posOffset>
              </wp:positionH>
              <wp:positionV relativeFrom="paragraph">
                <wp:posOffset>8775700</wp:posOffset>
              </wp:positionV>
              <wp:extent cx="236220" cy="210185"/>
              <wp:effectExtent l="0" t="0" r="0" b="0"/>
              <wp:wrapNone/>
              <wp:docPr id="20" name="Forma libre: forma 28"/>
              <a:graphic xmlns:a="http://schemas.openxmlformats.org/drawingml/2006/main">
                <a:graphicData uri="http://schemas.microsoft.com/office/word/2010/wordprocessingShape">
                  <wps:wsp>
                    <wps:cNvSpPr/>
                    <wps:spPr>
                      <a:xfrm>
                        <a:off x="0" y="0"/>
                        <a:ext cx="235440" cy="209520"/>
                      </a:xfrm>
                      <a:custGeom>
                        <a:avLst/>
                        <a:gdLst/>
                        <a:ahLst/>
                        <a:rect l="l" t="t" r="r" b="b"/>
                        <a:pathLst>
                          <a:path w="226059" h="200025">
                            <a:moveTo>
                              <a:pt x="0" y="0"/>
                            </a:moveTo>
                            <a:lnTo>
                              <a:pt x="0" y="200025"/>
                            </a:lnTo>
                            <a:lnTo>
                              <a:pt x="226059" y="200025"/>
                            </a:lnTo>
                            <a:lnTo>
                              <a:pt x="226059" y="0"/>
                            </a:lnTo>
                            <a:close/>
                          </a:path>
                        </a:pathLst>
                      </a:custGeom>
                      <a:noFill/>
                      <a:ln>
                        <a:noFill/>
                      </a:ln>
                    </wps:spPr>
                    <wps:style>
                      <a:lnRef idx="0"/>
                      <a:fillRef idx="0"/>
                      <a:effectRef idx="0"/>
                      <a:fontRef idx="minor"/>
                    </wps:style>
                    <wps:bodyPr/>
                  </wps:wsp>
                </a:graphicData>
              </a:graphic>
            </wp:anchor>
          </w:drawing>
        </mc:Choice>
        <mc:Fallback>
          <w:pict/>
        </mc:Fallback>
      </mc:AlternateContent>
    </w:r>
    <w:r>
      <w:rPr>
        <w:sz w:val="20"/>
        <w:szCs w:val="20"/>
      </w:rPr>
      <w:instrText> PAGE </w:instrText>
    </w:r>
    <w:r>
      <w:rPr>
        <w:sz w:val="20"/>
        <w:szCs w:val="20"/>
      </w:rPr>
      <w:fldChar w:fldCharType="separate"/>
    </w:r>
    <w:r>
      <w:rPr>
        <w:sz w:val="20"/>
        <w:szCs w:val="20"/>
      </w:rPr>
      <w:t>61</w:t>
    </w:r>
    <w:r>
      <w:rPr>
        <w:sz w:val="20"/>
        <w:szCs w:val="20"/>
      </w:rPr>
      <w:fldChar w:fldCharType="end"/>
    </w:r>
    <w:r>
      <mc:AlternateContent>
        <mc:Choice Requires="wps">
          <w:drawing>
            <wp:anchor behindDoc="1" distT="0" distB="0" distL="0" distR="0" simplePos="0" locked="0" layoutInCell="1" allowOverlap="1" relativeHeight="124">
              <wp:simplePos x="0" y="0"/>
              <wp:positionH relativeFrom="column">
                <wp:posOffset>203200</wp:posOffset>
              </wp:positionH>
              <wp:positionV relativeFrom="paragraph">
                <wp:posOffset>8775700</wp:posOffset>
              </wp:positionV>
              <wp:extent cx="236220" cy="0"/>
              <wp:effectExtent l="0" t="0" r="0" b="0"/>
              <wp:wrapNone/>
              <wp:docPr id="21" name=""/>
              <a:graphic xmlns:a="http://schemas.openxmlformats.org/drawingml/2006/main">
                <a:graphicData uri="http://schemas.microsoft.com/office/word/2010/wordprocessingShape">
                  <wps:wsp>
                    <wps:cNvSpPr txBox="1"/>
                    <wps:spPr>
                      <a:xfrm>
                        <a:off x="0" y="0"/>
                        <a:ext cx="236220" cy="-7620000"/>
                      </a:xfrm>
                      <a:prstGeom prst="rect"/>
                    </wps:spPr>
                    <wps:txbx>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37</w:t>
                          </w:r>
                        </w:p>
                      </w:txbxContent>
                    </wps:txbx>
                    <wps:bodyPr anchor="t" lIns="88900" tIns="38100" rIns="88900" bIns="38100">
                      <a:noAutofit/>
                    </wps:bodyPr>
                  </wps:wsp>
                </a:graphicData>
              </a:graphic>
            </wp:anchor>
          </w:drawing>
        </mc:Choice>
        <mc:Fallback>
          <w:pict>
            <v:rect style="position:absolute;rotation:0;width:18.6pt;height:-600pt;mso-wrap-distance-left:0pt;mso-wrap-distance-right:0pt;mso-wrap-distance-top:5.7pt;mso-wrap-distance-bottom:5.7pt;margin-top:691pt;mso-position-vertical-relative:text;margin-left:16pt;mso-position-horizontal-relative:text">
              <v:textbox inset="0.0972222222222222in,0.0416666666666667in,0.0972222222222222in,0.0416666666666667in">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37</w:t>
                    </w:r>
                  </w:p>
                </w:txbxContent>
              </v:textbox>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jc w:val="right"/>
      <w:rPr/>
    </w:pPr>
    <w:r>
      <w:rPr>
        <w:sz w:val="20"/>
        <w:szCs w:val="20"/>
      </w:rPr>
      <w:fldChar w:fldCharType="begin"/>
      <mc:AlternateContent>
        <mc:Choice Requires="wps">
          <w:drawing>
            <wp:anchor behindDoc="1" distT="0" distB="0" distL="0" distR="0" simplePos="0" locked="0" layoutInCell="1" allowOverlap="1" relativeHeight="126" wp14:anchorId="10A023BA">
              <wp:simplePos x="0" y="0"/>
              <wp:positionH relativeFrom="column">
                <wp:posOffset>203200</wp:posOffset>
              </wp:positionH>
              <wp:positionV relativeFrom="paragraph">
                <wp:posOffset>8775700</wp:posOffset>
              </wp:positionV>
              <wp:extent cx="236220" cy="210185"/>
              <wp:effectExtent l="0" t="0" r="0" b="0"/>
              <wp:wrapNone/>
              <wp:docPr id="22" name="Forma libre: forma 28"/>
              <a:graphic xmlns:a="http://schemas.openxmlformats.org/drawingml/2006/main">
                <a:graphicData uri="http://schemas.microsoft.com/office/word/2010/wordprocessingShape">
                  <wps:wsp>
                    <wps:cNvSpPr/>
                    <wps:spPr>
                      <a:xfrm>
                        <a:off x="0" y="0"/>
                        <a:ext cx="235440" cy="209520"/>
                      </a:xfrm>
                      <a:custGeom>
                        <a:avLst/>
                        <a:gdLst/>
                        <a:ahLst/>
                        <a:rect l="l" t="t" r="r" b="b"/>
                        <a:pathLst>
                          <a:path w="226059" h="200025">
                            <a:moveTo>
                              <a:pt x="0" y="0"/>
                            </a:moveTo>
                            <a:lnTo>
                              <a:pt x="0" y="200025"/>
                            </a:lnTo>
                            <a:lnTo>
                              <a:pt x="226059" y="200025"/>
                            </a:lnTo>
                            <a:lnTo>
                              <a:pt x="226059" y="0"/>
                            </a:lnTo>
                            <a:close/>
                          </a:path>
                        </a:pathLst>
                      </a:custGeom>
                      <a:noFill/>
                      <a:ln>
                        <a:noFill/>
                      </a:ln>
                    </wps:spPr>
                    <wps:style>
                      <a:lnRef idx="0"/>
                      <a:fillRef idx="0"/>
                      <a:effectRef idx="0"/>
                      <a:fontRef idx="minor"/>
                    </wps:style>
                    <wps:bodyPr/>
                  </wps:wsp>
                </a:graphicData>
              </a:graphic>
            </wp:anchor>
          </w:drawing>
        </mc:Choice>
        <mc:Fallback>
          <w:pict/>
        </mc:Fallback>
      </mc:AlternateContent>
    </w:r>
    <w:r>
      <w:rPr>
        <w:sz w:val="20"/>
        <w:szCs w:val="20"/>
      </w:rPr>
      <w:instrText> PAGE </w:instrText>
    </w:r>
    <w:r>
      <w:rPr>
        <w:sz w:val="20"/>
        <w:szCs w:val="20"/>
      </w:rPr>
      <w:fldChar w:fldCharType="separate"/>
    </w:r>
    <w:r>
      <w:rPr>
        <w:sz w:val="20"/>
        <w:szCs w:val="20"/>
      </w:rPr>
      <w:t>63</w:t>
    </w:r>
    <w:r>
      <w:rPr>
        <w:sz w:val="20"/>
        <w:szCs w:val="20"/>
      </w:rPr>
      <w:fldChar w:fldCharType="end"/>
    </w:r>
    <w:r>
      <mc:AlternateContent>
        <mc:Choice Requires="wps">
          <w:drawing>
            <wp:anchor behindDoc="1" distT="0" distB="0" distL="0" distR="0" simplePos="0" locked="0" layoutInCell="1" allowOverlap="1" relativeHeight="128">
              <wp:simplePos x="0" y="0"/>
              <wp:positionH relativeFrom="column">
                <wp:posOffset>203200</wp:posOffset>
              </wp:positionH>
              <wp:positionV relativeFrom="paragraph">
                <wp:posOffset>8775700</wp:posOffset>
              </wp:positionV>
              <wp:extent cx="236220" cy="0"/>
              <wp:effectExtent l="0" t="0" r="0" b="0"/>
              <wp:wrapNone/>
              <wp:docPr id="23" name=""/>
              <a:graphic xmlns:a="http://schemas.openxmlformats.org/drawingml/2006/main">
                <a:graphicData uri="http://schemas.microsoft.com/office/word/2010/wordprocessingShape">
                  <wps:wsp>
                    <wps:cNvSpPr txBox="1"/>
                    <wps:spPr>
                      <a:xfrm>
                        <a:off x="0" y="0"/>
                        <a:ext cx="236220" cy="-7620000"/>
                      </a:xfrm>
                      <a:prstGeom prst="rect"/>
                    </wps:spPr>
                    <wps:txbx>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37</w:t>
                          </w:r>
                        </w:p>
                      </w:txbxContent>
                    </wps:txbx>
                    <wps:bodyPr anchor="t" lIns="88900" tIns="38100" rIns="88900" bIns="38100">
                      <a:noAutofit/>
                    </wps:bodyPr>
                  </wps:wsp>
                </a:graphicData>
              </a:graphic>
            </wp:anchor>
          </w:drawing>
        </mc:Choice>
        <mc:Fallback>
          <w:pict>
            <v:rect style="position:absolute;rotation:0;width:18.6pt;height:-600pt;mso-wrap-distance-left:0pt;mso-wrap-distance-right:0pt;mso-wrap-distance-top:5.7pt;mso-wrap-distance-bottom:5.7pt;margin-top:691pt;mso-position-vertical-relative:text;margin-left:16pt;mso-position-horizontal-relative:text">
              <v:textbox inset="0.0972222222222222in,0.0416666666666667in,0.0972222222222222in,0.0416666666666667in">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37</w:t>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eastAsia="Helvetica Neue" w:cs="Helvetica Neue" w:ascii="Helvetica Neue" w:hAnsi="Helvetica Neue"/>
        <w:sz w:val="13"/>
        <w:szCs w:val="13"/>
      </w:rPr>
      <w:fldChar w:fldCharType="begin"/>
    </w:r>
    <w:r>
      <w:rPr>
        <w:sz w:val="13"/>
        <w:szCs w:val="13"/>
        <w:rFonts w:eastAsia="Helvetica Neue" w:cs="Helvetica Neue" w:ascii="Helvetica Neue" w:hAnsi="Helvetica Neue"/>
      </w:rPr>
      <w:instrText> PAGE </w:instrText>
    </w:r>
    <w:r>
      <w:rPr>
        <w:sz w:val="13"/>
        <w:szCs w:val="13"/>
        <w:rFonts w:eastAsia="Helvetica Neue" w:cs="Helvetica Neue" w:ascii="Helvetica Neue" w:hAnsi="Helvetica Neue"/>
      </w:rPr>
      <w:fldChar w:fldCharType="separate"/>
    </w:r>
    <w:r>
      <w:rPr>
        <w:sz w:val="13"/>
        <w:szCs w:val="13"/>
        <w:rFonts w:eastAsia="Helvetica Neue" w:cs="Helvetica Neue" w:ascii="Helvetica Neue" w:hAnsi="Helvetica Neue"/>
      </w:rPr>
      <w:t>2</w:t>
    </w:r>
    <w:r>
      <w:rPr>
        <w:sz w:val="13"/>
        <w:szCs w:val="13"/>
        <w:rFonts w:eastAsia="Helvetica Neue" w:cs="Helvetica Neue" w:ascii="Helvetica Neue" w:hAnsi="Helvetica Neue"/>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jc w:val="right"/>
      <w:rPr>
        <w:color w:val="000000"/>
        <w:sz w:val="20"/>
        <w:szCs w:val="20"/>
      </w:rPr>
    </w:pPr>
    <w:r>
      <w:rPr>
        <w:sz w:val="20"/>
        <w:szCs w:val="20"/>
      </w:rPr>
      <w:fldChar w:fldCharType="begin"/>
      <mc:AlternateContent>
        <mc:Choice Requires="wps">
          <w:drawing>
            <wp:anchor behindDoc="1" distT="0" distB="0" distL="0" distR="0" simplePos="0" locked="0" layoutInCell="1" allowOverlap="1" relativeHeight="20" wp14:anchorId="0461160A">
              <wp:simplePos x="0" y="0"/>
              <wp:positionH relativeFrom="column">
                <wp:posOffset>203200</wp:posOffset>
              </wp:positionH>
              <wp:positionV relativeFrom="paragraph">
                <wp:posOffset>8775700</wp:posOffset>
              </wp:positionV>
              <wp:extent cx="248285" cy="210185"/>
              <wp:effectExtent l="0" t="0" r="0" b="0"/>
              <wp:wrapNone/>
              <wp:docPr id="1" name="Forma libre: forma 30"/>
              <a:graphic xmlns:a="http://schemas.openxmlformats.org/drawingml/2006/main">
                <a:graphicData uri="http://schemas.microsoft.com/office/word/2010/wordprocessingShape">
                  <wps:wsp>
                    <wps:cNvSpPr/>
                    <wps:spPr>
                      <a:xfrm>
                        <a:off x="0" y="0"/>
                        <a:ext cx="247680" cy="209520"/>
                      </a:xfrm>
                      <a:custGeom>
                        <a:avLst/>
                        <a:gdLst/>
                        <a:ahLst/>
                        <a:rect l="l" t="t" r="r" b="b"/>
                        <a:pathLst>
                          <a:path w="238125" h="200025">
                            <a:moveTo>
                              <a:pt x="0" y="0"/>
                            </a:moveTo>
                            <a:lnTo>
                              <a:pt x="0" y="200025"/>
                            </a:lnTo>
                            <a:lnTo>
                              <a:pt x="238125" y="200025"/>
                            </a:lnTo>
                            <a:lnTo>
                              <a:pt x="238125" y="0"/>
                            </a:lnTo>
                            <a:close/>
                          </a:path>
                        </a:pathLst>
                      </a:custGeom>
                      <a:noFill/>
                      <a:ln>
                        <a:noFill/>
                      </a:ln>
                    </wps:spPr>
                    <wps:style>
                      <a:lnRef idx="0"/>
                      <a:fillRef idx="0"/>
                      <a:effectRef idx="0"/>
                      <a:fontRef idx="minor"/>
                    </wps:style>
                    <wps:txbx>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24</w:t>
                          </w:r>
                        </w:p>
                      </w:txbxContent>
                    </wps:txbx>
                    <wps:bodyPr lIns="88920" rIns="88920" tIns="38160" bIns="38160">
                      <a:noAutofit/>
                    </wps:bodyPr>
                  </wps:wsp>
                </a:graphicData>
              </a:graphic>
            </wp:anchor>
          </w:drawing>
        </mc:Choice>
        <mc:Fallback>
          <w:pict/>
        </mc:Fallback>
      </mc:AlternateContent>
    </w:r>
    <w:r>
      <w:rPr>
        <w:sz w:val="20"/>
        <w:szCs w:val="20"/>
      </w:rPr>
      <w:instrText> PAGE </w:instrText>
    </w:r>
    <w:r>
      <w:rPr>
        <w:sz w:val="20"/>
        <w:szCs w:val="20"/>
      </w:rPr>
      <w:fldChar w:fldCharType="separate"/>
    </w:r>
    <w:r>
      <w:rPr>
        <w:sz w:val="20"/>
        <w:szCs w:val="20"/>
      </w:rPr>
      <w:t>3</w:t>
    </w:r>
    <w:r>
      <w:rPr>
        <w:sz w:val="20"/>
        <w:szCs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jc w:val="right"/>
      <w:rPr/>
    </w:pPr>
    <w:r>
      <w:rPr>
        <w:sz w:val="20"/>
        <w:szCs w:val="20"/>
      </w:rPr>
      <w:fldChar w:fldCharType="begin"/>
      <mc:AlternateContent>
        <mc:Choice Requires="wps">
          <w:drawing>
            <wp:anchor behindDoc="1" distT="0" distB="0" distL="0" distR="0" simplePos="0" locked="0" layoutInCell="1" allowOverlap="1" relativeHeight="23" wp14:anchorId="0461160A">
              <wp:simplePos x="0" y="0"/>
              <wp:positionH relativeFrom="column">
                <wp:posOffset>203200</wp:posOffset>
              </wp:positionH>
              <wp:positionV relativeFrom="paragraph">
                <wp:posOffset>8775700</wp:posOffset>
              </wp:positionV>
              <wp:extent cx="248285" cy="210185"/>
              <wp:effectExtent l="0" t="0" r="0" b="0"/>
              <wp:wrapNone/>
              <wp:docPr id="3" name="Forma libre: forma 30"/>
              <a:graphic xmlns:a="http://schemas.openxmlformats.org/drawingml/2006/main">
                <a:graphicData uri="http://schemas.microsoft.com/office/word/2010/wordprocessingShape">
                  <wps:wsp>
                    <wps:cNvSpPr/>
                    <wps:spPr>
                      <a:xfrm>
                        <a:off x="0" y="0"/>
                        <a:ext cx="247680" cy="209520"/>
                      </a:xfrm>
                      <a:custGeom>
                        <a:avLst/>
                        <a:gdLst/>
                        <a:ahLst/>
                        <a:rect l="l" t="t" r="r" b="b"/>
                        <a:pathLst>
                          <a:path w="238125" h="200025">
                            <a:moveTo>
                              <a:pt x="0" y="0"/>
                            </a:moveTo>
                            <a:lnTo>
                              <a:pt x="0" y="200025"/>
                            </a:lnTo>
                            <a:lnTo>
                              <a:pt x="238125" y="200025"/>
                            </a:lnTo>
                            <a:lnTo>
                              <a:pt x="238125" y="0"/>
                            </a:lnTo>
                            <a:close/>
                          </a:path>
                        </a:pathLst>
                      </a:custGeom>
                      <a:noFill/>
                      <a:ln>
                        <a:noFill/>
                      </a:ln>
                    </wps:spPr>
                    <wps:style>
                      <a:lnRef idx="0"/>
                      <a:fillRef idx="0"/>
                      <a:effectRef idx="0"/>
                      <a:fontRef idx="minor"/>
                    </wps:style>
                    <wps:bodyPr/>
                  </wps:wsp>
                </a:graphicData>
              </a:graphic>
            </wp:anchor>
          </w:drawing>
        </mc:Choice>
        <mc:Fallback>
          <w:pict/>
        </mc:Fallback>
      </mc:AlternateContent>
    </w:r>
    <w:r>
      <w:rPr>
        <w:sz w:val="20"/>
        <w:szCs w:val="20"/>
      </w:rPr>
      <w:instrText> PAGE </w:instrText>
    </w:r>
    <w:r>
      <w:rPr>
        <w:sz w:val="20"/>
        <w:szCs w:val="20"/>
      </w:rPr>
      <w:fldChar w:fldCharType="separate"/>
    </w:r>
    <w:r>
      <w:rPr>
        <w:sz w:val="20"/>
        <w:szCs w:val="20"/>
      </w:rPr>
      <w:t>5</w:t>
    </w:r>
    <w:r>
      <w:rPr>
        <w:sz w:val="20"/>
        <w:szCs w:val="20"/>
      </w:rPr>
      <w:fldChar w:fldCharType="end"/>
    </w:r>
    <w:r>
      <mc:AlternateContent>
        <mc:Choice Requires="wps">
          <w:drawing>
            <wp:anchor behindDoc="1" distT="0" distB="0" distL="0" distR="0" simplePos="0" locked="0" layoutInCell="1" allowOverlap="1" relativeHeight="25">
              <wp:simplePos x="0" y="0"/>
              <wp:positionH relativeFrom="column">
                <wp:posOffset>203200</wp:posOffset>
              </wp:positionH>
              <wp:positionV relativeFrom="paragraph">
                <wp:posOffset>8775700</wp:posOffset>
              </wp:positionV>
              <wp:extent cx="248285" cy="0"/>
              <wp:effectExtent l="0" t="0" r="0" b="0"/>
              <wp:wrapNone/>
              <wp:docPr id="4" name=""/>
              <a:graphic xmlns:a="http://schemas.openxmlformats.org/drawingml/2006/main">
                <a:graphicData uri="http://schemas.microsoft.com/office/word/2010/wordprocessingShape">
                  <wps:wsp>
                    <wps:cNvSpPr txBox="1"/>
                    <wps:spPr>
                      <a:xfrm>
                        <a:off x="0" y="0"/>
                        <a:ext cx="248285" cy="-7620000"/>
                      </a:xfrm>
                      <a:prstGeom prst="rect"/>
                    </wps:spPr>
                    <wps:txbx>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24</w:t>
                          </w:r>
                        </w:p>
                      </w:txbxContent>
                    </wps:txbx>
                    <wps:bodyPr anchor="t" lIns="88900" tIns="38100" rIns="88900" bIns="38100">
                      <a:noAutofit/>
                    </wps:bodyPr>
                  </wps:wsp>
                </a:graphicData>
              </a:graphic>
            </wp:anchor>
          </w:drawing>
        </mc:Choice>
        <mc:Fallback>
          <w:pict>
            <v:rect style="position:absolute;rotation:0;width:19.55pt;height:-600pt;mso-wrap-distance-left:0pt;mso-wrap-distance-right:0pt;mso-wrap-distance-top:5.7pt;mso-wrap-distance-bottom:5.7pt;margin-top:691pt;mso-position-vertical-relative:text;margin-left:16pt;mso-position-horizontal-relative:text">
              <v:textbox inset="0.0972222222222222in,0.0416666666666667in,0.0972222222222222in,0.0416666666666667in">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24</w:t>
                    </w:r>
                  </w:p>
                </w:txbxContent>
              </v:textbox>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jc w:val="right"/>
      <w:rPr/>
    </w:pPr>
    <w:r>
      <w:rPr>
        <w:sz w:val="20"/>
        <w:szCs w:val="20"/>
      </w:rPr>
      <w:fldChar w:fldCharType="begin"/>
      <mc:AlternateContent>
        <mc:Choice Requires="wps">
          <w:drawing>
            <wp:anchor behindDoc="1" distT="0" distB="0" distL="0" distR="0" simplePos="0" locked="0" layoutInCell="1" allowOverlap="1" relativeHeight="31" wp14:anchorId="0461160A">
              <wp:simplePos x="0" y="0"/>
              <wp:positionH relativeFrom="column">
                <wp:posOffset>203200</wp:posOffset>
              </wp:positionH>
              <wp:positionV relativeFrom="paragraph">
                <wp:posOffset>8775700</wp:posOffset>
              </wp:positionV>
              <wp:extent cx="248285" cy="210185"/>
              <wp:effectExtent l="0" t="0" r="0" b="0"/>
              <wp:wrapNone/>
              <wp:docPr id="5" name="Forma libre: forma 30"/>
              <a:graphic xmlns:a="http://schemas.openxmlformats.org/drawingml/2006/main">
                <a:graphicData uri="http://schemas.microsoft.com/office/word/2010/wordprocessingShape">
                  <wps:wsp>
                    <wps:cNvSpPr/>
                    <wps:spPr>
                      <a:xfrm>
                        <a:off x="0" y="0"/>
                        <a:ext cx="247680" cy="209520"/>
                      </a:xfrm>
                      <a:custGeom>
                        <a:avLst/>
                        <a:gdLst/>
                        <a:ahLst/>
                        <a:rect l="l" t="t" r="r" b="b"/>
                        <a:pathLst>
                          <a:path w="238125" h="200025">
                            <a:moveTo>
                              <a:pt x="0" y="0"/>
                            </a:moveTo>
                            <a:lnTo>
                              <a:pt x="0" y="200025"/>
                            </a:lnTo>
                            <a:lnTo>
                              <a:pt x="238125" y="200025"/>
                            </a:lnTo>
                            <a:lnTo>
                              <a:pt x="238125" y="0"/>
                            </a:lnTo>
                            <a:close/>
                          </a:path>
                        </a:pathLst>
                      </a:custGeom>
                      <a:noFill/>
                      <a:ln>
                        <a:noFill/>
                      </a:ln>
                    </wps:spPr>
                    <wps:style>
                      <a:lnRef idx="0"/>
                      <a:fillRef idx="0"/>
                      <a:effectRef idx="0"/>
                      <a:fontRef idx="minor"/>
                    </wps:style>
                    <wps:bodyPr/>
                  </wps:wsp>
                </a:graphicData>
              </a:graphic>
            </wp:anchor>
          </w:drawing>
        </mc:Choice>
        <mc:Fallback>
          <w:pict/>
        </mc:Fallback>
      </mc:AlternateContent>
    </w:r>
    <w:r>
      <w:rPr>
        <w:sz w:val="20"/>
        <w:szCs w:val="20"/>
      </w:rPr>
      <w:instrText> PAGE </w:instrText>
    </w:r>
    <w:r>
      <w:rPr>
        <w:sz w:val="20"/>
        <w:szCs w:val="20"/>
      </w:rPr>
      <w:fldChar w:fldCharType="separate"/>
    </w:r>
    <w:r>
      <w:rPr>
        <w:sz w:val="20"/>
        <w:szCs w:val="20"/>
      </w:rPr>
      <w:t>11</w:t>
    </w:r>
    <w:r>
      <w:rPr>
        <w:sz w:val="20"/>
        <w:szCs w:val="20"/>
      </w:rPr>
      <w:fldChar w:fldCharType="end"/>
    </w:r>
    <w:r>
      <mc:AlternateContent>
        <mc:Choice Requires="wps">
          <w:drawing>
            <wp:anchor behindDoc="1" distT="0" distB="0" distL="0" distR="0" simplePos="0" locked="0" layoutInCell="1" allowOverlap="1" relativeHeight="37">
              <wp:simplePos x="0" y="0"/>
              <wp:positionH relativeFrom="column">
                <wp:posOffset>203200</wp:posOffset>
              </wp:positionH>
              <wp:positionV relativeFrom="paragraph">
                <wp:posOffset>8775700</wp:posOffset>
              </wp:positionV>
              <wp:extent cx="248285" cy="0"/>
              <wp:effectExtent l="0" t="0" r="0" b="0"/>
              <wp:wrapNone/>
              <wp:docPr id="6" name=""/>
              <a:graphic xmlns:a="http://schemas.openxmlformats.org/drawingml/2006/main">
                <a:graphicData uri="http://schemas.microsoft.com/office/word/2010/wordprocessingShape">
                  <wps:wsp>
                    <wps:cNvSpPr txBox="1"/>
                    <wps:spPr>
                      <a:xfrm>
                        <a:off x="0" y="0"/>
                        <a:ext cx="248285" cy="-7620000"/>
                      </a:xfrm>
                      <a:prstGeom prst="rect"/>
                    </wps:spPr>
                    <wps:txbx>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24</w:t>
                          </w:r>
                        </w:p>
                      </w:txbxContent>
                    </wps:txbx>
                    <wps:bodyPr anchor="t" lIns="88900" tIns="38100" rIns="88900" bIns="38100">
                      <a:noAutofit/>
                    </wps:bodyPr>
                  </wps:wsp>
                </a:graphicData>
              </a:graphic>
            </wp:anchor>
          </w:drawing>
        </mc:Choice>
        <mc:Fallback>
          <w:pict>
            <v:rect style="position:absolute;rotation:0;width:19.55pt;height:-600pt;mso-wrap-distance-left:0pt;mso-wrap-distance-right:0pt;mso-wrap-distance-top:5.7pt;mso-wrap-distance-bottom:5.7pt;margin-top:691pt;mso-position-vertical-relative:text;margin-left:16pt;mso-position-horizontal-relative:text">
              <v:textbox inset="0.0972222222222222in,0.0416666666666667in,0.0972222222222222in,0.0416666666666667in">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24</w:t>
                    </w:r>
                  </w:p>
                </w:txbxContent>
              </v:textbox>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jc w:val="right"/>
      <w:rPr/>
    </w:pPr>
    <w:r>
      <w:rPr>
        <w:sz w:val="20"/>
        <w:szCs w:val="20"/>
      </w:rPr>
      <w:fldChar w:fldCharType="begin"/>
      <mc:AlternateContent>
        <mc:Choice Requires="wps">
          <w:drawing>
            <wp:anchor behindDoc="1" distT="0" distB="0" distL="0" distR="0" simplePos="0" locked="0" layoutInCell="1" allowOverlap="1" relativeHeight="48" wp14:anchorId="0461160A">
              <wp:simplePos x="0" y="0"/>
              <wp:positionH relativeFrom="column">
                <wp:posOffset>203200</wp:posOffset>
              </wp:positionH>
              <wp:positionV relativeFrom="paragraph">
                <wp:posOffset>8775700</wp:posOffset>
              </wp:positionV>
              <wp:extent cx="248285" cy="210185"/>
              <wp:effectExtent l="0" t="0" r="0" b="0"/>
              <wp:wrapNone/>
              <wp:docPr id="7" name="Forma libre: forma 30"/>
              <a:graphic xmlns:a="http://schemas.openxmlformats.org/drawingml/2006/main">
                <a:graphicData uri="http://schemas.microsoft.com/office/word/2010/wordprocessingShape">
                  <wps:wsp>
                    <wps:cNvSpPr/>
                    <wps:spPr>
                      <a:xfrm>
                        <a:off x="0" y="0"/>
                        <a:ext cx="247680" cy="209520"/>
                      </a:xfrm>
                      <a:custGeom>
                        <a:avLst/>
                        <a:gdLst/>
                        <a:ahLst/>
                        <a:rect l="l" t="t" r="r" b="b"/>
                        <a:pathLst>
                          <a:path w="238125" h="200025">
                            <a:moveTo>
                              <a:pt x="0" y="0"/>
                            </a:moveTo>
                            <a:lnTo>
                              <a:pt x="0" y="200025"/>
                            </a:lnTo>
                            <a:lnTo>
                              <a:pt x="238125" y="200025"/>
                            </a:lnTo>
                            <a:lnTo>
                              <a:pt x="238125" y="0"/>
                            </a:lnTo>
                            <a:close/>
                          </a:path>
                        </a:pathLst>
                      </a:custGeom>
                      <a:noFill/>
                      <a:ln>
                        <a:noFill/>
                      </a:ln>
                    </wps:spPr>
                    <wps:style>
                      <a:lnRef idx="0"/>
                      <a:fillRef idx="0"/>
                      <a:effectRef idx="0"/>
                      <a:fontRef idx="minor"/>
                    </wps:style>
                    <wps:bodyPr/>
                  </wps:wsp>
                </a:graphicData>
              </a:graphic>
            </wp:anchor>
          </w:drawing>
        </mc:Choice>
        <mc:Fallback>
          <w:pict/>
        </mc:Fallback>
      </mc:AlternateContent>
    </w:r>
    <w:r>
      <w:rPr>
        <w:sz w:val="20"/>
        <w:szCs w:val="20"/>
      </w:rPr>
      <w:instrText> PAGE </w:instrText>
    </w:r>
    <w:r>
      <w:rPr>
        <w:sz w:val="20"/>
        <w:szCs w:val="20"/>
      </w:rPr>
      <w:fldChar w:fldCharType="separate"/>
    </w:r>
    <w:r>
      <w:rPr>
        <w:sz w:val="20"/>
        <w:szCs w:val="20"/>
      </w:rPr>
      <w:t>22</w:t>
    </w:r>
    <w:r>
      <w:rPr>
        <w:sz w:val="20"/>
        <w:szCs w:val="20"/>
      </w:rPr>
      <w:fldChar w:fldCharType="end"/>
    </w:r>
    <w:r>
      <mc:AlternateContent>
        <mc:Choice Requires="wps">
          <w:drawing>
            <wp:anchor behindDoc="1" distT="0" distB="0" distL="0" distR="0" simplePos="0" locked="0" layoutInCell="1" allowOverlap="1" relativeHeight="59">
              <wp:simplePos x="0" y="0"/>
              <wp:positionH relativeFrom="column">
                <wp:posOffset>203200</wp:posOffset>
              </wp:positionH>
              <wp:positionV relativeFrom="paragraph">
                <wp:posOffset>8775700</wp:posOffset>
              </wp:positionV>
              <wp:extent cx="248285" cy="0"/>
              <wp:effectExtent l="0" t="0" r="0" b="0"/>
              <wp:wrapNone/>
              <wp:docPr id="8" name=""/>
              <a:graphic xmlns:a="http://schemas.openxmlformats.org/drawingml/2006/main">
                <a:graphicData uri="http://schemas.microsoft.com/office/word/2010/wordprocessingShape">
                  <wps:wsp>
                    <wps:cNvSpPr txBox="1"/>
                    <wps:spPr>
                      <a:xfrm>
                        <a:off x="0" y="0"/>
                        <a:ext cx="248285" cy="-7620000"/>
                      </a:xfrm>
                      <a:prstGeom prst="rect"/>
                    </wps:spPr>
                    <wps:txbx>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24</w:t>
                          </w:r>
                        </w:p>
                      </w:txbxContent>
                    </wps:txbx>
                    <wps:bodyPr anchor="t" lIns="88900" tIns="38100" rIns="88900" bIns="38100">
                      <a:noAutofit/>
                    </wps:bodyPr>
                  </wps:wsp>
                </a:graphicData>
              </a:graphic>
            </wp:anchor>
          </w:drawing>
        </mc:Choice>
        <mc:Fallback>
          <w:pict>
            <v:rect style="position:absolute;rotation:0;width:19.55pt;height:-600pt;mso-wrap-distance-left:0pt;mso-wrap-distance-right:0pt;mso-wrap-distance-top:5.7pt;mso-wrap-distance-bottom:5.7pt;margin-top:691pt;mso-position-vertical-relative:text;margin-left:16pt;mso-position-horizontal-relative:text">
              <v:textbox inset="0.0972222222222222in,0.0416666666666667in,0.0972222222222222in,0.0416666666666667in">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24</w:t>
                    </w:r>
                  </w:p>
                </w:txbxContent>
              </v:textbox>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jc w:val="right"/>
      <w:rPr/>
    </w:pPr>
    <w:r>
      <w:rPr>
        <w:sz w:val="20"/>
        <w:szCs w:val="20"/>
      </w:rPr>
      <w:fldChar w:fldCharType="begin"/>
      <mc:AlternateContent>
        <mc:Choice Requires="wps">
          <w:drawing>
            <wp:anchor behindDoc="1" distT="0" distB="0" distL="0" distR="0" simplePos="0" locked="0" layoutInCell="1" allowOverlap="1" relativeHeight="74" wp14:anchorId="0461160A">
              <wp:simplePos x="0" y="0"/>
              <wp:positionH relativeFrom="column">
                <wp:posOffset>203200</wp:posOffset>
              </wp:positionH>
              <wp:positionV relativeFrom="paragraph">
                <wp:posOffset>8775700</wp:posOffset>
              </wp:positionV>
              <wp:extent cx="248285" cy="210185"/>
              <wp:effectExtent l="0" t="0" r="0" b="0"/>
              <wp:wrapNone/>
              <wp:docPr id="14" name="Forma libre: forma 30"/>
              <a:graphic xmlns:a="http://schemas.openxmlformats.org/drawingml/2006/main">
                <a:graphicData uri="http://schemas.microsoft.com/office/word/2010/wordprocessingShape">
                  <wps:wsp>
                    <wps:cNvSpPr/>
                    <wps:spPr>
                      <a:xfrm>
                        <a:off x="0" y="0"/>
                        <a:ext cx="247680" cy="209520"/>
                      </a:xfrm>
                      <a:custGeom>
                        <a:avLst/>
                        <a:gdLst/>
                        <a:ahLst/>
                        <a:rect l="l" t="t" r="r" b="b"/>
                        <a:pathLst>
                          <a:path w="238125" h="200025">
                            <a:moveTo>
                              <a:pt x="0" y="0"/>
                            </a:moveTo>
                            <a:lnTo>
                              <a:pt x="0" y="200025"/>
                            </a:lnTo>
                            <a:lnTo>
                              <a:pt x="238125" y="200025"/>
                            </a:lnTo>
                            <a:lnTo>
                              <a:pt x="238125" y="0"/>
                            </a:lnTo>
                            <a:close/>
                          </a:path>
                        </a:pathLst>
                      </a:custGeom>
                      <a:noFill/>
                      <a:ln>
                        <a:noFill/>
                      </a:ln>
                    </wps:spPr>
                    <wps:style>
                      <a:lnRef idx="0"/>
                      <a:fillRef idx="0"/>
                      <a:effectRef idx="0"/>
                      <a:fontRef idx="minor"/>
                    </wps:style>
                    <wps:bodyPr/>
                  </wps:wsp>
                </a:graphicData>
              </a:graphic>
            </wp:anchor>
          </w:drawing>
        </mc:Choice>
        <mc:Fallback>
          <w:pict/>
        </mc:Fallback>
      </mc:AlternateContent>
    </w:r>
    <w:r>
      <w:rPr>
        <w:sz w:val="20"/>
        <w:szCs w:val="20"/>
      </w:rPr>
      <w:instrText> PAGE </w:instrText>
    </w:r>
    <w:r>
      <w:rPr>
        <w:sz w:val="20"/>
        <w:szCs w:val="20"/>
      </w:rPr>
      <w:fldChar w:fldCharType="separate"/>
    </w:r>
    <w:r>
      <w:rPr>
        <w:sz w:val="20"/>
        <w:szCs w:val="20"/>
      </w:rPr>
      <w:t>37</w:t>
    </w:r>
    <w:r>
      <w:rPr>
        <w:sz w:val="20"/>
        <w:szCs w:val="20"/>
      </w:rPr>
      <w:fldChar w:fldCharType="end"/>
    </w:r>
    <w:r>
      <mc:AlternateContent>
        <mc:Choice Requires="wps">
          <w:drawing>
            <wp:anchor behindDoc="1" distT="0" distB="0" distL="0" distR="0" simplePos="0" locked="0" layoutInCell="1" allowOverlap="1" relativeHeight="89">
              <wp:simplePos x="0" y="0"/>
              <wp:positionH relativeFrom="column">
                <wp:posOffset>203200</wp:posOffset>
              </wp:positionH>
              <wp:positionV relativeFrom="paragraph">
                <wp:posOffset>8775700</wp:posOffset>
              </wp:positionV>
              <wp:extent cx="248285" cy="0"/>
              <wp:effectExtent l="0" t="0" r="0" b="0"/>
              <wp:wrapNone/>
              <wp:docPr id="15" name=""/>
              <a:graphic xmlns:a="http://schemas.openxmlformats.org/drawingml/2006/main">
                <a:graphicData uri="http://schemas.microsoft.com/office/word/2010/wordprocessingShape">
                  <wps:wsp>
                    <wps:cNvSpPr txBox="1"/>
                    <wps:spPr>
                      <a:xfrm>
                        <a:off x="0" y="0"/>
                        <a:ext cx="248285" cy="-7620000"/>
                      </a:xfrm>
                      <a:prstGeom prst="rect"/>
                    </wps:spPr>
                    <wps:txbx>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24</w:t>
                          </w:r>
                        </w:p>
                      </w:txbxContent>
                    </wps:txbx>
                    <wps:bodyPr anchor="t" lIns="88900" tIns="38100" rIns="88900" bIns="38100">
                      <a:noAutofit/>
                    </wps:bodyPr>
                  </wps:wsp>
                </a:graphicData>
              </a:graphic>
            </wp:anchor>
          </w:drawing>
        </mc:Choice>
        <mc:Fallback>
          <w:pict>
            <v:rect style="position:absolute;rotation:0;width:19.55pt;height:-600pt;mso-wrap-distance-left:0pt;mso-wrap-distance-right:0pt;mso-wrap-distance-top:5.7pt;mso-wrap-distance-bottom:5.7pt;margin-top:691pt;mso-position-vertical-relative:text;margin-left:16pt;mso-position-horizontal-relative:text">
              <v:textbox inset="0.0972222222222222in,0.0416666666666667in,0.0972222222222222in,0.0416666666666667in">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24</w:t>
                    </w:r>
                  </w:p>
                </w:txbxContent>
              </v:textbox>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jc w:val="right"/>
      <w:rPr>
        <w:color w:val="000000"/>
        <w:sz w:val="20"/>
        <w:szCs w:val="20"/>
      </w:rPr>
    </w:pPr>
    <w:r>
      <w:rPr>
        <w:sz w:val="20"/>
        <w:szCs w:val="20"/>
      </w:rPr>
      <w:fldChar w:fldCharType="begin"/>
      <mc:AlternateContent>
        <mc:Choice Requires="wps">
          <w:drawing>
            <wp:anchor behindDoc="1" distT="0" distB="0" distL="0" distR="0" simplePos="0" locked="0" layoutInCell="1" allowOverlap="1" relativeHeight="15" wp14:anchorId="10A023BA">
              <wp:simplePos x="0" y="0"/>
              <wp:positionH relativeFrom="column">
                <wp:posOffset>203200</wp:posOffset>
              </wp:positionH>
              <wp:positionV relativeFrom="paragraph">
                <wp:posOffset>8775700</wp:posOffset>
              </wp:positionV>
              <wp:extent cx="236220" cy="210185"/>
              <wp:effectExtent l="0" t="0" r="0" b="0"/>
              <wp:wrapNone/>
              <wp:docPr id="16" name="Forma libre: forma 28"/>
              <a:graphic xmlns:a="http://schemas.openxmlformats.org/drawingml/2006/main">
                <a:graphicData uri="http://schemas.microsoft.com/office/word/2010/wordprocessingShape">
                  <wps:wsp>
                    <wps:cNvSpPr/>
                    <wps:spPr>
                      <a:xfrm>
                        <a:off x="0" y="0"/>
                        <a:ext cx="235440" cy="209520"/>
                      </a:xfrm>
                      <a:custGeom>
                        <a:avLst/>
                        <a:gdLst/>
                        <a:ahLst/>
                        <a:rect l="l" t="t" r="r" b="b"/>
                        <a:pathLst>
                          <a:path w="226059" h="200025">
                            <a:moveTo>
                              <a:pt x="0" y="0"/>
                            </a:moveTo>
                            <a:lnTo>
                              <a:pt x="0" y="200025"/>
                            </a:lnTo>
                            <a:lnTo>
                              <a:pt x="226059" y="200025"/>
                            </a:lnTo>
                            <a:lnTo>
                              <a:pt x="226059" y="0"/>
                            </a:lnTo>
                            <a:close/>
                          </a:path>
                        </a:pathLst>
                      </a:custGeom>
                      <a:noFill/>
                      <a:ln>
                        <a:noFill/>
                      </a:ln>
                    </wps:spPr>
                    <wps:style>
                      <a:lnRef idx="0"/>
                      <a:fillRef idx="0"/>
                      <a:effectRef idx="0"/>
                      <a:fontRef idx="minor"/>
                    </wps:style>
                    <wps:txbx>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37</w:t>
                          </w:r>
                        </w:p>
                      </w:txbxContent>
                    </wps:txbx>
                    <wps:bodyPr lIns="88920" rIns="88920" tIns="38160" bIns="38160">
                      <a:noAutofit/>
                    </wps:bodyPr>
                  </wps:wsp>
                </a:graphicData>
              </a:graphic>
            </wp:anchor>
          </w:drawing>
        </mc:Choice>
        <mc:Fallback>
          <w:pict/>
        </mc:Fallback>
      </mc:AlternateContent>
    </w:r>
    <w:r>
      <w:rPr>
        <w:sz w:val="20"/>
        <w:szCs w:val="20"/>
      </w:rPr>
      <w:instrText> PAGE </w:instrText>
    </w:r>
    <w:r>
      <w:rPr>
        <w:sz w:val="20"/>
        <w:szCs w:val="20"/>
      </w:rPr>
      <w:fldChar w:fldCharType="separate"/>
    </w:r>
    <w:r>
      <w:rPr>
        <w:sz w:val="20"/>
        <w:szCs w:val="20"/>
      </w:rPr>
      <w:t>50</w:t>
    </w:r>
    <w:r>
      <w:rPr>
        <w:sz w:val="20"/>
        <w:szCs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jc w:val="right"/>
      <w:rPr/>
    </w:pPr>
    <w:r>
      <w:rPr>
        <w:sz w:val="20"/>
        <w:szCs w:val="20"/>
      </w:rPr>
      <w:fldChar w:fldCharType="begin"/>
      <mc:AlternateContent>
        <mc:Choice Requires="wps">
          <w:drawing>
            <wp:anchor behindDoc="1" distT="0" distB="0" distL="0" distR="0" simplePos="0" locked="0" layoutInCell="1" allowOverlap="1" relativeHeight="105" wp14:anchorId="10A023BA">
              <wp:simplePos x="0" y="0"/>
              <wp:positionH relativeFrom="column">
                <wp:posOffset>203200</wp:posOffset>
              </wp:positionH>
              <wp:positionV relativeFrom="paragraph">
                <wp:posOffset>8775700</wp:posOffset>
              </wp:positionV>
              <wp:extent cx="236220" cy="210185"/>
              <wp:effectExtent l="0" t="0" r="0" b="0"/>
              <wp:wrapNone/>
              <wp:docPr id="18" name="Forma libre: forma 28"/>
              <a:graphic xmlns:a="http://schemas.openxmlformats.org/drawingml/2006/main">
                <a:graphicData uri="http://schemas.microsoft.com/office/word/2010/wordprocessingShape">
                  <wps:wsp>
                    <wps:cNvSpPr/>
                    <wps:spPr>
                      <a:xfrm>
                        <a:off x="0" y="0"/>
                        <a:ext cx="235440" cy="209520"/>
                      </a:xfrm>
                      <a:custGeom>
                        <a:avLst/>
                        <a:gdLst/>
                        <a:ahLst/>
                        <a:rect l="l" t="t" r="r" b="b"/>
                        <a:pathLst>
                          <a:path w="226059" h="200025">
                            <a:moveTo>
                              <a:pt x="0" y="0"/>
                            </a:moveTo>
                            <a:lnTo>
                              <a:pt x="0" y="200025"/>
                            </a:lnTo>
                            <a:lnTo>
                              <a:pt x="226059" y="200025"/>
                            </a:lnTo>
                            <a:lnTo>
                              <a:pt x="226059" y="0"/>
                            </a:lnTo>
                            <a:close/>
                          </a:path>
                        </a:pathLst>
                      </a:custGeom>
                      <a:noFill/>
                      <a:ln>
                        <a:noFill/>
                      </a:ln>
                    </wps:spPr>
                    <wps:style>
                      <a:lnRef idx="0"/>
                      <a:fillRef idx="0"/>
                      <a:effectRef idx="0"/>
                      <a:fontRef idx="minor"/>
                    </wps:style>
                    <wps:bodyPr/>
                  </wps:wsp>
                </a:graphicData>
              </a:graphic>
            </wp:anchor>
          </w:drawing>
        </mc:Choice>
        <mc:Fallback>
          <w:pict/>
        </mc:Fallback>
      </mc:AlternateContent>
    </w:r>
    <w:r>
      <w:rPr>
        <w:sz w:val="20"/>
        <w:szCs w:val="20"/>
      </w:rPr>
      <w:instrText> PAGE </w:instrText>
    </w:r>
    <w:r>
      <w:rPr>
        <w:sz w:val="20"/>
        <w:szCs w:val="20"/>
      </w:rPr>
      <w:fldChar w:fldCharType="separate"/>
    </w:r>
    <w:r>
      <w:rPr>
        <w:sz w:val="20"/>
        <w:szCs w:val="20"/>
      </w:rPr>
      <w:t>53</w:t>
    </w:r>
    <w:r>
      <w:rPr>
        <w:sz w:val="20"/>
        <w:szCs w:val="20"/>
      </w:rPr>
      <w:fldChar w:fldCharType="end"/>
    </w:r>
    <w:r>
      <mc:AlternateContent>
        <mc:Choice Requires="wps">
          <w:drawing>
            <wp:anchor behindDoc="1" distT="0" distB="0" distL="0" distR="0" simplePos="0" locked="0" layoutInCell="1" allowOverlap="1" relativeHeight="108">
              <wp:simplePos x="0" y="0"/>
              <wp:positionH relativeFrom="column">
                <wp:posOffset>203200</wp:posOffset>
              </wp:positionH>
              <wp:positionV relativeFrom="paragraph">
                <wp:posOffset>8775700</wp:posOffset>
              </wp:positionV>
              <wp:extent cx="236220" cy="0"/>
              <wp:effectExtent l="0" t="0" r="0" b="0"/>
              <wp:wrapNone/>
              <wp:docPr id="19" name=""/>
              <a:graphic xmlns:a="http://schemas.openxmlformats.org/drawingml/2006/main">
                <a:graphicData uri="http://schemas.microsoft.com/office/word/2010/wordprocessingShape">
                  <wps:wsp>
                    <wps:cNvSpPr txBox="1"/>
                    <wps:spPr>
                      <a:xfrm>
                        <a:off x="0" y="0"/>
                        <a:ext cx="236220" cy="-7620000"/>
                      </a:xfrm>
                      <a:prstGeom prst="rect"/>
                    </wps:spPr>
                    <wps:txbx>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37</w:t>
                          </w:r>
                        </w:p>
                      </w:txbxContent>
                    </wps:txbx>
                    <wps:bodyPr anchor="t" lIns="88900" tIns="38100" rIns="88900" bIns="38100">
                      <a:noAutofit/>
                    </wps:bodyPr>
                  </wps:wsp>
                </a:graphicData>
              </a:graphic>
            </wp:anchor>
          </w:drawing>
        </mc:Choice>
        <mc:Fallback>
          <w:pict>
            <v:rect style="position:absolute;rotation:0;width:18.6pt;height:-600pt;mso-wrap-distance-left:0pt;mso-wrap-distance-right:0pt;mso-wrap-distance-top:5.7pt;mso-wrap-distance-bottom:5.7pt;margin-top:691pt;mso-position-vertical-relative:text;margin-left:16pt;mso-position-horizontal-relative:text">
              <v:textbox inset="0.0972222222222222in,0.0416666666666667in,0.0972222222222222in,0.0416666666666667in">
                <w:txbxContent>
                  <w:p>
                    <w:pPr>
                      <w:pStyle w:val="Contenidodelmarco"/>
                      <w:spacing w:before="18" w:after="0"/>
                      <w:ind w:left="60" w:hanging="0"/>
                      <w:rPr/>
                    </w:pPr>
                    <w:r>
                      <w:rPr>
                        <w:color w:val="6F2FA0"/>
                        <w:sz w:val="28"/>
                      </w:rPr>
                      <w:t xml:space="preserve"> </w:t>
                    </w:r>
                    <w:r>
                      <w:rPr>
                        <w:color w:val="6F2FA0"/>
                        <w:sz w:val="28"/>
                      </w:rPr>
                      <w:t xml:space="preserve">PAGE </w:t>
                    </w:r>
                    <w:r>
                      <w:rPr>
                        <w:color w:val="000000"/>
                        <w:sz w:val="28"/>
                      </w:rPr>
                      <w:t>37</w:t>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rPr>
        <w:color w:val="000000"/>
        <w:sz w:val="20"/>
        <w:szCs w:val="20"/>
      </w:rPr>
    </w:pPr>
    <w:r>
      <w:rPr>
        <w:color w:val="000000"/>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rPr>
        <w:color w:val="000000"/>
        <w:sz w:val="20"/>
        <w:szCs w:val="20"/>
      </w:rPr>
    </w:pPr>
    <w:r>
      <w:rPr>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rPr>
        <w:color w:val="000000"/>
        <w:sz w:val="20"/>
        <w:szCs w:val="20"/>
      </w:rPr>
    </w:pPr>
    <w:r>
      <w:rPr>
        <w:color w:val="000000"/>
        <w:sz w:val="20"/>
        <w:szCs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rPr>
        <w:color w:val="000000"/>
        <w:sz w:val="20"/>
        <w:szCs w:val="20"/>
      </w:rPr>
    </w:pPr>
    <w:r>
      <w:rPr>
        <w:color w:val="000000"/>
        <w:sz w:val="20"/>
        <w:szCs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rPr>
        <w:color w:val="000000"/>
        <w:sz w:val="20"/>
        <w:szCs w:val="20"/>
      </w:rPr>
    </w:pPr>
    <w:r>
      <w:rPr>
        <w:color w:val="000000"/>
        <w:sz w:val="20"/>
        <w:szCs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rPr>
        <w:color w:val="000000"/>
        <w:sz w:val="20"/>
        <w:szCs w:val="20"/>
      </w:rPr>
    </w:pPr>
    <w:r>
      <w:rPr>
        <w:color w:val="000000"/>
        <w:sz w:val="20"/>
        <w:szCs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rPr>
        <w:color w:val="000000"/>
        <w:sz w:val="20"/>
        <w:szCs w:val="20"/>
      </w:rPr>
    </w:pPr>
    <w:r>
      <w:rPr>
        <w:color w:val="000000"/>
        <w:sz w:val="20"/>
        <w:szCs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rPr>
        <w:color w:val="000000"/>
        <w:sz w:val="20"/>
        <w:szCs w:val="20"/>
      </w:rPr>
    </w:pPr>
    <w:r>
      <w:rPr>
        <w:color w:val="000000"/>
        <w:sz w:val="20"/>
        <w:szCs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12"/>
      <w:rPr>
        <w:color w:val="000000"/>
        <w:sz w:val="20"/>
        <w:szCs w:val="20"/>
      </w:rPr>
    </w:pPr>
    <w:r>
      <w:rPr>
        <w:color w:val="000000"/>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581" w:hanging="360"/>
      </w:pPr>
      <w:rPr>
        <w:rFonts w:ascii="Arial" w:hAnsi="Arial" w:cs="Arial" w:hint="default"/>
        <w:sz w:val="24"/>
        <w:b/>
        <w:szCs w:val="24"/>
        <w:rFonts w:cs="Arial"/>
        <w:color w:val="EC52C1"/>
      </w:rPr>
    </w:lvl>
    <w:lvl w:ilvl="1">
      <w:start w:val="1"/>
      <w:numFmt w:val="bullet"/>
      <w:lvlText w:val=""/>
      <w:lvlJc w:val="left"/>
      <w:pPr>
        <w:ind w:left="1468" w:hanging="360"/>
      </w:pPr>
      <w:rPr>
        <w:rFonts w:ascii="Symbol" w:hAnsi="Symbol" w:cs="Symbol" w:hint="default"/>
      </w:rPr>
    </w:lvl>
    <w:lvl w:ilvl="2">
      <w:start w:val="1"/>
      <w:numFmt w:val="bullet"/>
      <w:lvlText w:val=""/>
      <w:lvlJc w:val="left"/>
      <w:pPr>
        <w:ind w:left="2356" w:hanging="360"/>
      </w:pPr>
      <w:rPr>
        <w:rFonts w:ascii="Symbol" w:hAnsi="Symbol" w:cs="Symbol" w:hint="default"/>
      </w:rPr>
    </w:lvl>
    <w:lvl w:ilvl="3">
      <w:start w:val="1"/>
      <w:numFmt w:val="bullet"/>
      <w:lvlText w:val=""/>
      <w:lvlJc w:val="left"/>
      <w:pPr>
        <w:ind w:left="3244" w:hanging="360"/>
      </w:pPr>
      <w:rPr>
        <w:rFonts w:ascii="Symbol" w:hAnsi="Symbol" w:cs="Symbol" w:hint="default"/>
      </w:rPr>
    </w:lvl>
    <w:lvl w:ilvl="4">
      <w:start w:val="1"/>
      <w:numFmt w:val="bullet"/>
      <w:lvlText w:val=""/>
      <w:lvlJc w:val="left"/>
      <w:pPr>
        <w:ind w:left="4132" w:hanging="360"/>
      </w:pPr>
      <w:rPr>
        <w:rFonts w:ascii="Symbol" w:hAnsi="Symbol" w:cs="Symbol" w:hint="default"/>
      </w:rPr>
    </w:lvl>
    <w:lvl w:ilvl="5">
      <w:start w:val="1"/>
      <w:numFmt w:val="bullet"/>
      <w:lvlText w:val=""/>
      <w:lvlJc w:val="left"/>
      <w:pPr>
        <w:ind w:left="5020" w:hanging="360"/>
      </w:pPr>
      <w:rPr>
        <w:rFonts w:ascii="Symbol" w:hAnsi="Symbol" w:cs="Symbol" w:hint="default"/>
      </w:rPr>
    </w:lvl>
    <w:lvl w:ilvl="6">
      <w:start w:val="1"/>
      <w:numFmt w:val="bullet"/>
      <w:lvlText w:val=""/>
      <w:lvlJc w:val="left"/>
      <w:pPr>
        <w:ind w:left="5908" w:hanging="360"/>
      </w:pPr>
      <w:rPr>
        <w:rFonts w:ascii="Symbol" w:hAnsi="Symbol" w:cs="Symbol" w:hint="default"/>
      </w:rPr>
    </w:lvl>
    <w:lvl w:ilvl="7">
      <w:start w:val="1"/>
      <w:numFmt w:val="bullet"/>
      <w:lvlText w:val=""/>
      <w:lvlJc w:val="left"/>
      <w:pPr>
        <w:ind w:left="6796" w:hanging="360"/>
      </w:pPr>
      <w:rPr>
        <w:rFonts w:ascii="Symbol" w:hAnsi="Symbol" w:cs="Symbol" w:hint="default"/>
      </w:rPr>
    </w:lvl>
    <w:lvl w:ilvl="8">
      <w:start w:val="1"/>
      <w:numFmt w:val="bullet"/>
      <w:lvlText w:val=""/>
      <w:lvlJc w:val="left"/>
      <w:pPr>
        <w:ind w:left="7684" w:hanging="360"/>
      </w:pPr>
      <w:rPr>
        <w:rFonts w:ascii="Symbol" w:hAnsi="Symbol" w:cs="Symbol" w:hint="default"/>
      </w:rPr>
    </w:lvl>
  </w:abstractNum>
  <w:abstractNum w:abstractNumId="2">
    <w:lvl w:ilvl="0">
      <w:start w:val="1"/>
      <w:numFmt w:val="decimal"/>
      <w:lvlText w:val="%1."/>
      <w:lvlJc w:val="left"/>
      <w:pPr>
        <w:ind w:left="581" w:hanging="360"/>
      </w:pPr>
      <w:rPr>
        <w:sz w:val="22"/>
        <w:b/>
        <w:szCs w:val="22"/>
        <w:rFonts w:eastAsia="Lexend" w:cs="Lexend"/>
        <w:color w:val="EC4ED0"/>
      </w:rPr>
    </w:lvl>
    <w:lvl w:ilvl="1">
      <w:start w:val="1"/>
      <w:numFmt w:val="lowerLetter"/>
      <w:lvlText w:val="%2."/>
      <w:lvlJc w:val="left"/>
      <w:pPr>
        <w:ind w:left="941" w:hanging="360"/>
      </w:pPr>
      <w:rPr>
        <w:b/>
        <w:rFonts w:ascii="Lexend Light" w:hAnsi="Lexend Light" w:eastAsia="Lexend Light" w:cs="Lexend Light"/>
        <w:color w:val="EC52C1"/>
      </w:rPr>
    </w:lvl>
    <w:lvl w:ilvl="2">
      <w:start w:val="1"/>
      <w:numFmt w:val="bullet"/>
      <w:lvlText w:val="●"/>
      <w:lvlJc w:val="left"/>
      <w:pPr>
        <w:ind w:left="1301" w:hanging="360"/>
      </w:pPr>
      <w:rPr>
        <w:rFonts w:ascii="Helvetica Neue" w:hAnsi="Helvetica Neue" w:cs="Helvetica Neue" w:hint="default"/>
        <w:sz w:val="22"/>
        <w:szCs w:val="22"/>
        <w:rFonts w:cs="Helvetica Neue"/>
        <w:color w:val="EC4ED0"/>
      </w:rPr>
    </w:lvl>
    <w:lvl w:ilvl="3">
      <w:start w:val="1"/>
      <w:numFmt w:val="bullet"/>
      <w:lvlText w:val=""/>
      <w:lvlJc w:val="left"/>
      <w:pPr>
        <w:ind w:left="2320" w:hanging="360"/>
      </w:pPr>
      <w:rPr>
        <w:rFonts w:ascii="Symbol" w:hAnsi="Symbol" w:cs="Symbol" w:hint="default"/>
      </w:rPr>
    </w:lvl>
    <w:lvl w:ilvl="4">
      <w:start w:val="1"/>
      <w:numFmt w:val="bullet"/>
      <w:lvlText w:val=""/>
      <w:lvlJc w:val="left"/>
      <w:pPr>
        <w:ind w:left="3340" w:hanging="360"/>
      </w:pPr>
      <w:rPr>
        <w:rFonts w:ascii="Symbol" w:hAnsi="Symbol" w:cs="Symbol" w:hint="default"/>
      </w:rPr>
    </w:lvl>
    <w:lvl w:ilvl="5">
      <w:start w:val="1"/>
      <w:numFmt w:val="bullet"/>
      <w:lvlText w:val=""/>
      <w:lvlJc w:val="left"/>
      <w:pPr>
        <w:ind w:left="4360" w:hanging="360"/>
      </w:pPr>
      <w:rPr>
        <w:rFonts w:ascii="Symbol" w:hAnsi="Symbol" w:cs="Symbol" w:hint="default"/>
      </w:rPr>
    </w:lvl>
    <w:lvl w:ilvl="6">
      <w:start w:val="1"/>
      <w:numFmt w:val="bullet"/>
      <w:lvlText w:val=""/>
      <w:lvlJc w:val="left"/>
      <w:pPr>
        <w:ind w:left="5380" w:hanging="360"/>
      </w:pPr>
      <w:rPr>
        <w:rFonts w:ascii="Symbol" w:hAnsi="Symbol" w:cs="Symbol" w:hint="default"/>
      </w:rPr>
    </w:lvl>
    <w:lvl w:ilvl="7">
      <w:start w:val="1"/>
      <w:numFmt w:val="bullet"/>
      <w:lvlText w:val=""/>
      <w:lvlJc w:val="left"/>
      <w:pPr>
        <w:ind w:left="6400" w:hanging="360"/>
      </w:pPr>
      <w:rPr>
        <w:rFonts w:ascii="Symbol" w:hAnsi="Symbol" w:cs="Symbol" w:hint="default"/>
      </w:rPr>
    </w:lvl>
    <w:lvl w:ilvl="8">
      <w:start w:val="1"/>
      <w:numFmt w:val="bullet"/>
      <w:lvlText w:val=""/>
      <w:lvlJc w:val="left"/>
      <w:pPr>
        <w:ind w:left="7420" w:hanging="360"/>
      </w:pPr>
      <w:rPr>
        <w:rFonts w:ascii="Symbol" w:hAnsi="Symbol" w:cs="Symbol" w:hint="default"/>
      </w:rPr>
    </w:lvl>
  </w:abstractNum>
  <w:abstractNum w:abstractNumId="3">
    <w:lvl w:ilvl="0">
      <w:start w:val="6"/>
      <w:numFmt w:val="decimal"/>
      <w:lvlText w:val="%1."/>
      <w:lvlJc w:val="left"/>
      <w:pPr>
        <w:ind w:left="641" w:hanging="420"/>
      </w:pPr>
      <w:rPr>
        <w:sz w:val="32"/>
        <w:b/>
        <w:szCs w:val="32"/>
        <w:rFonts w:ascii="Lexend Light" w:hAnsi="Lexend Light" w:eastAsia="Tahoma" w:cs="Tahoma"/>
        <w:color w:val="EC52C1"/>
      </w:rPr>
    </w:lvl>
    <w:lvl w:ilvl="1">
      <w:start w:val="1"/>
      <w:numFmt w:val="decimal"/>
      <w:lvlText w:val="%1.%2."/>
      <w:lvlJc w:val="left"/>
      <w:pPr>
        <w:ind w:left="1016" w:hanging="735"/>
      </w:pPr>
      <w:rPr>
        <w:sz w:val="28"/>
        <w:b/>
        <w:szCs w:val="28"/>
        <w:rFonts w:ascii="Lexend Light" w:hAnsi="Lexend Light" w:eastAsia="Lexend Light" w:cs="Lexend Light"/>
        <w:color w:val="EC4ED0"/>
      </w:rPr>
    </w:lvl>
    <w:lvl w:ilvl="2">
      <w:start w:val="1"/>
      <w:numFmt w:val="bullet"/>
      <w:lvlText w:val=""/>
      <w:lvlJc w:val="left"/>
      <w:pPr>
        <w:ind w:left="1957" w:hanging="735"/>
      </w:pPr>
      <w:rPr>
        <w:rFonts w:ascii="Symbol" w:hAnsi="Symbol" w:cs="Symbol" w:hint="default"/>
      </w:rPr>
    </w:lvl>
    <w:lvl w:ilvl="3">
      <w:start w:val="1"/>
      <w:numFmt w:val="bullet"/>
      <w:lvlText w:val=""/>
      <w:lvlJc w:val="left"/>
      <w:pPr>
        <w:ind w:left="2895" w:hanging="735"/>
      </w:pPr>
      <w:rPr>
        <w:rFonts w:ascii="Symbol" w:hAnsi="Symbol" w:cs="Symbol" w:hint="default"/>
      </w:rPr>
    </w:lvl>
    <w:lvl w:ilvl="4">
      <w:start w:val="1"/>
      <w:numFmt w:val="bullet"/>
      <w:lvlText w:val=""/>
      <w:lvlJc w:val="left"/>
      <w:pPr>
        <w:ind w:left="3833" w:hanging="735"/>
      </w:pPr>
      <w:rPr>
        <w:rFonts w:ascii="Symbol" w:hAnsi="Symbol" w:cs="Symbol" w:hint="default"/>
      </w:rPr>
    </w:lvl>
    <w:lvl w:ilvl="5">
      <w:start w:val="1"/>
      <w:numFmt w:val="bullet"/>
      <w:lvlText w:val=""/>
      <w:lvlJc w:val="left"/>
      <w:pPr>
        <w:ind w:left="4771" w:hanging="735"/>
      </w:pPr>
      <w:rPr>
        <w:rFonts w:ascii="Symbol" w:hAnsi="Symbol" w:cs="Symbol" w:hint="default"/>
      </w:rPr>
    </w:lvl>
    <w:lvl w:ilvl="6">
      <w:start w:val="1"/>
      <w:numFmt w:val="bullet"/>
      <w:lvlText w:val=""/>
      <w:lvlJc w:val="left"/>
      <w:pPr>
        <w:ind w:left="5708" w:hanging="735"/>
      </w:pPr>
      <w:rPr>
        <w:rFonts w:ascii="Symbol" w:hAnsi="Symbol" w:cs="Symbol" w:hint="default"/>
      </w:rPr>
    </w:lvl>
    <w:lvl w:ilvl="7">
      <w:start w:val="1"/>
      <w:numFmt w:val="bullet"/>
      <w:lvlText w:val=""/>
      <w:lvlJc w:val="left"/>
      <w:pPr>
        <w:ind w:left="6646" w:hanging="735"/>
      </w:pPr>
      <w:rPr>
        <w:rFonts w:ascii="Symbol" w:hAnsi="Symbol" w:cs="Symbol" w:hint="default"/>
      </w:rPr>
    </w:lvl>
    <w:lvl w:ilvl="8">
      <w:start w:val="1"/>
      <w:numFmt w:val="bullet"/>
      <w:lvlText w:val=""/>
      <w:lvlJc w:val="left"/>
      <w:pPr>
        <w:ind w:left="7584" w:hanging="735"/>
      </w:pPr>
      <w:rPr>
        <w:rFonts w:ascii="Symbol" w:hAnsi="Symbol" w:cs="Symbol" w:hint="default"/>
      </w:rPr>
    </w:lvl>
  </w:abstractNum>
  <w:abstractNum w:abstractNumId="4">
    <w:lvl w:ilvl="0">
      <w:start w:val="1"/>
      <w:numFmt w:val="decimal"/>
      <w:lvlText w:val="%1."/>
      <w:lvlJc w:val="left"/>
      <w:pPr>
        <w:ind w:left="581" w:hanging="360"/>
      </w:pPr>
      <w:rPr>
        <w:sz w:val="22"/>
        <w:b/>
        <w:szCs w:val="22"/>
        <w:rFonts w:ascii="Lexend Light" w:hAnsi="Lexend Light" w:eastAsia="Lexend Light" w:cs="Lexend Light"/>
        <w:color w:val="EC52C1"/>
      </w:rPr>
    </w:lvl>
    <w:lvl w:ilvl="1">
      <w:start w:val="1"/>
      <w:numFmt w:val="bullet"/>
      <w:lvlText w:val="●"/>
      <w:lvlJc w:val="left"/>
      <w:pPr>
        <w:ind w:left="941" w:hanging="360"/>
      </w:pPr>
      <w:rPr>
        <w:rFonts w:ascii="Helvetica Neue" w:hAnsi="Helvetica Neue" w:cs="Helvetica Neue" w:hint="default"/>
        <w:sz w:val="22"/>
        <w:szCs w:val="22"/>
        <w:rFonts w:cs="Helvetica Neue"/>
        <w:color w:val="F150D4"/>
      </w:rPr>
    </w:lvl>
    <w:lvl w:ilvl="2">
      <w:start w:val="1"/>
      <w:numFmt w:val="bullet"/>
      <w:lvlText w:val=""/>
      <w:lvlJc w:val="left"/>
      <w:pPr>
        <w:ind w:left="1886" w:hanging="360"/>
      </w:pPr>
      <w:rPr>
        <w:rFonts w:ascii="Symbol" w:hAnsi="Symbol" w:cs="Symbol" w:hint="default"/>
      </w:rPr>
    </w:lvl>
    <w:lvl w:ilvl="3">
      <w:start w:val="1"/>
      <w:numFmt w:val="bullet"/>
      <w:lvlText w:val=""/>
      <w:lvlJc w:val="left"/>
      <w:pPr>
        <w:ind w:left="2833" w:hanging="360"/>
      </w:pPr>
      <w:rPr>
        <w:rFonts w:ascii="Symbol" w:hAnsi="Symbol" w:cs="Symbol" w:hint="default"/>
      </w:rPr>
    </w:lvl>
    <w:lvl w:ilvl="4">
      <w:start w:val="1"/>
      <w:numFmt w:val="bullet"/>
      <w:lvlText w:val=""/>
      <w:lvlJc w:val="left"/>
      <w:pPr>
        <w:ind w:left="3780" w:hanging="360"/>
      </w:pPr>
      <w:rPr>
        <w:rFonts w:ascii="Symbol" w:hAnsi="Symbol" w:cs="Symbol" w:hint="default"/>
      </w:rPr>
    </w:lvl>
    <w:lvl w:ilvl="5">
      <w:start w:val="1"/>
      <w:numFmt w:val="bullet"/>
      <w:lvlText w:val=""/>
      <w:lvlJc w:val="left"/>
      <w:pPr>
        <w:ind w:left="4726" w:hanging="360"/>
      </w:pPr>
      <w:rPr>
        <w:rFonts w:ascii="Symbol" w:hAnsi="Symbol" w:cs="Symbol" w:hint="default"/>
      </w:rPr>
    </w:lvl>
    <w:lvl w:ilvl="6">
      <w:start w:val="1"/>
      <w:numFmt w:val="bullet"/>
      <w:lvlText w:val=""/>
      <w:lvlJc w:val="left"/>
      <w:pPr>
        <w:ind w:left="5673" w:hanging="360"/>
      </w:pPr>
      <w:rPr>
        <w:rFonts w:ascii="Symbol" w:hAnsi="Symbol" w:cs="Symbol" w:hint="default"/>
      </w:rPr>
    </w:lvl>
    <w:lvl w:ilvl="7">
      <w:start w:val="1"/>
      <w:numFmt w:val="bullet"/>
      <w:lvlText w:val=""/>
      <w:lvlJc w:val="left"/>
      <w:pPr>
        <w:ind w:left="6620" w:hanging="360"/>
      </w:pPr>
      <w:rPr>
        <w:rFonts w:ascii="Symbol" w:hAnsi="Symbol" w:cs="Symbol" w:hint="default"/>
      </w:rPr>
    </w:lvl>
    <w:lvl w:ilvl="8">
      <w:start w:val="1"/>
      <w:numFmt w:val="bullet"/>
      <w:lvlText w:val=""/>
      <w:lvlJc w:val="left"/>
      <w:pPr>
        <w:ind w:left="7566" w:hanging="360"/>
      </w:pPr>
      <w:rPr>
        <w:rFonts w:ascii="Symbol" w:hAnsi="Symbol" w:cs="Symbol" w:hint="default"/>
      </w:rPr>
    </w:lvl>
  </w:abstractNum>
  <w:abstractNum w:abstractNumId="5">
    <w:lvl w:ilvl="0">
      <w:start w:val="1"/>
      <w:numFmt w:val="bullet"/>
      <w:lvlText w:val="●"/>
      <w:lvlJc w:val="left"/>
      <w:pPr>
        <w:ind w:left="581" w:hanging="360"/>
      </w:pPr>
      <w:rPr>
        <w:rFonts w:ascii="Arial" w:hAnsi="Arial" w:cs="Arial" w:hint="default"/>
        <w:sz w:val="17"/>
        <w:u w:val="none"/>
        <w:b/>
        <w:szCs w:val="22"/>
        <w:rFonts w:cs="Arial"/>
        <w:color w:val="ED4FD0"/>
      </w:rPr>
    </w:lvl>
    <w:lvl w:ilvl="1">
      <w:start w:val="1"/>
      <w:numFmt w:val="bullet"/>
      <w:lvlText w:val="●"/>
      <w:lvlJc w:val="left"/>
      <w:pPr>
        <w:ind w:left="986" w:hanging="360"/>
      </w:pPr>
      <w:rPr>
        <w:rFonts w:ascii="Helvetica Neue" w:hAnsi="Helvetica Neue" w:cs="Helvetica Neue" w:hint="default"/>
        <w:sz w:val="22"/>
        <w:szCs w:val="22"/>
        <w:rFonts w:cs="Helvetica Neue"/>
        <w:color w:val="EC4ED0"/>
      </w:rPr>
    </w:lvl>
    <w:lvl w:ilvl="2">
      <w:start w:val="1"/>
      <w:numFmt w:val="bullet"/>
      <w:lvlText w:val=""/>
      <w:lvlJc w:val="left"/>
      <w:pPr>
        <w:ind w:left="1922" w:hanging="360"/>
      </w:pPr>
      <w:rPr>
        <w:rFonts w:ascii="Symbol" w:hAnsi="Symbol" w:cs="Symbol" w:hint="default"/>
      </w:rPr>
    </w:lvl>
    <w:lvl w:ilvl="3">
      <w:start w:val="1"/>
      <w:numFmt w:val="bullet"/>
      <w:lvlText w:val=""/>
      <w:lvlJc w:val="left"/>
      <w:pPr>
        <w:ind w:left="2864" w:hanging="360"/>
      </w:pPr>
      <w:rPr>
        <w:rFonts w:ascii="Symbol" w:hAnsi="Symbol" w:cs="Symbol" w:hint="default"/>
      </w:rPr>
    </w:lvl>
    <w:lvl w:ilvl="4">
      <w:start w:val="1"/>
      <w:numFmt w:val="bullet"/>
      <w:lvlText w:val=""/>
      <w:lvlJc w:val="left"/>
      <w:pPr>
        <w:ind w:left="3806" w:hanging="360"/>
      </w:pPr>
      <w:rPr>
        <w:rFonts w:ascii="Symbol" w:hAnsi="Symbol" w:cs="Symbol" w:hint="default"/>
      </w:rPr>
    </w:lvl>
    <w:lvl w:ilvl="5">
      <w:start w:val="1"/>
      <w:numFmt w:val="bullet"/>
      <w:lvlText w:val=""/>
      <w:lvlJc w:val="left"/>
      <w:pPr>
        <w:ind w:left="4748" w:hanging="360"/>
      </w:pPr>
      <w:rPr>
        <w:rFonts w:ascii="Symbol" w:hAnsi="Symbol" w:cs="Symbol" w:hint="default"/>
      </w:rPr>
    </w:lvl>
    <w:lvl w:ilvl="6">
      <w:start w:val="1"/>
      <w:numFmt w:val="bullet"/>
      <w:lvlText w:val=""/>
      <w:lvlJc w:val="left"/>
      <w:pPr>
        <w:ind w:left="5691" w:hanging="360"/>
      </w:pPr>
      <w:rPr>
        <w:rFonts w:ascii="Symbol" w:hAnsi="Symbol" w:cs="Symbol" w:hint="default"/>
      </w:rPr>
    </w:lvl>
    <w:lvl w:ilvl="7">
      <w:start w:val="1"/>
      <w:numFmt w:val="bullet"/>
      <w:lvlText w:val=""/>
      <w:lvlJc w:val="left"/>
      <w:pPr>
        <w:ind w:left="6633" w:hanging="360"/>
      </w:pPr>
      <w:rPr>
        <w:rFonts w:ascii="Symbol" w:hAnsi="Symbol" w:cs="Symbol" w:hint="default"/>
      </w:rPr>
    </w:lvl>
    <w:lvl w:ilvl="8">
      <w:start w:val="1"/>
      <w:numFmt w:val="bullet"/>
      <w:lvlText w:val=""/>
      <w:lvlJc w:val="left"/>
      <w:pPr>
        <w:ind w:left="7575" w:hanging="360"/>
      </w:pPr>
      <w:rPr>
        <w:rFonts w:ascii="Symbol" w:hAnsi="Symbol" w:cs="Symbol" w:hint="default"/>
      </w:rPr>
    </w:lvl>
  </w:abstractNum>
  <w:abstractNum w:abstractNumId="6">
    <w:lvl w:ilvl="0">
      <w:start w:val="1"/>
      <w:numFmt w:val="decimal"/>
      <w:lvlText w:val="%1."/>
      <w:lvlJc w:val="left"/>
      <w:pPr>
        <w:ind w:left="720" w:hanging="360"/>
      </w:pPr>
      <w:rPr>
        <w:u w:val="none"/>
        <w:rFonts w:ascii="Lexend Light" w:hAnsi="Lexend Light"/>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1032" w:hanging="812"/>
      </w:pPr>
      <w:rPr>
        <w:sz w:val="40"/>
        <w:b/>
        <w:szCs w:val="32"/>
        <w:rFonts w:ascii="Lexend Light" w:hAnsi="Lexend Light"/>
      </w:rPr>
    </w:lvl>
    <w:lvl w:ilvl="1">
      <w:start w:val="1"/>
      <w:numFmt w:val="decimal"/>
      <w:lvlText w:val="%1.%2."/>
      <w:lvlJc w:val="left"/>
      <w:pPr>
        <w:ind w:left="1076" w:hanging="735"/>
      </w:pPr>
      <w:rPr>
        <w:sz w:val="28"/>
        <w:b/>
        <w:rFonts w:ascii="Lexend Light" w:hAnsi="Lexend Light"/>
      </w:rPr>
    </w:lvl>
    <w:lvl w:ilvl="2">
      <w:start w:val="1"/>
      <w:numFmt w:val="decimal"/>
      <w:lvlText w:val="%3."/>
      <w:lvlJc w:val="left"/>
      <w:pPr>
        <w:ind w:left="941" w:hanging="735"/>
      </w:pPr>
      <w:rPr>
        <w:b w:val="false"/>
        <w:rFonts w:ascii="Lexend" w:hAnsi="Lexend"/>
      </w:rPr>
    </w:lvl>
    <w:lvl w:ilvl="3">
      <w:start w:val="1"/>
      <w:numFmt w:val="bullet"/>
      <w:lvlText w:val=""/>
      <w:lvlJc w:val="left"/>
      <w:pPr>
        <w:ind w:left="2127" w:hanging="735"/>
      </w:pPr>
      <w:rPr>
        <w:rFonts w:ascii="Symbol" w:hAnsi="Symbol" w:cs="Symbol" w:hint="default"/>
      </w:rPr>
    </w:lvl>
    <w:lvl w:ilvl="4">
      <w:start w:val="1"/>
      <w:numFmt w:val="bullet"/>
      <w:lvlText w:val=""/>
      <w:lvlJc w:val="left"/>
      <w:pPr>
        <w:ind w:left="3175" w:hanging="735"/>
      </w:pPr>
      <w:rPr>
        <w:rFonts w:ascii="Symbol" w:hAnsi="Symbol" w:cs="Symbol" w:hint="default"/>
      </w:rPr>
    </w:lvl>
    <w:lvl w:ilvl="5">
      <w:start w:val="1"/>
      <w:numFmt w:val="bullet"/>
      <w:lvlText w:val=""/>
      <w:lvlJc w:val="left"/>
      <w:pPr>
        <w:ind w:left="4222" w:hanging="735"/>
      </w:pPr>
      <w:rPr>
        <w:rFonts w:ascii="Symbol" w:hAnsi="Symbol" w:cs="Symbol" w:hint="default"/>
      </w:rPr>
    </w:lvl>
    <w:lvl w:ilvl="6">
      <w:start w:val="1"/>
      <w:numFmt w:val="bullet"/>
      <w:lvlText w:val=""/>
      <w:lvlJc w:val="left"/>
      <w:pPr>
        <w:ind w:left="5270" w:hanging="735"/>
      </w:pPr>
      <w:rPr>
        <w:rFonts w:ascii="Symbol" w:hAnsi="Symbol" w:cs="Symbol" w:hint="default"/>
      </w:rPr>
    </w:lvl>
    <w:lvl w:ilvl="7">
      <w:start w:val="1"/>
      <w:numFmt w:val="bullet"/>
      <w:lvlText w:val=""/>
      <w:lvlJc w:val="left"/>
      <w:pPr>
        <w:ind w:left="6317" w:hanging="735"/>
      </w:pPr>
      <w:rPr>
        <w:rFonts w:ascii="Symbol" w:hAnsi="Symbol" w:cs="Symbol" w:hint="default"/>
      </w:rPr>
    </w:lvl>
    <w:lvl w:ilvl="8">
      <w:start w:val="1"/>
      <w:numFmt w:val="bullet"/>
      <w:lvlText w:val=""/>
      <w:lvlJc w:val="left"/>
      <w:pPr>
        <w:ind w:left="7365" w:hanging="735"/>
      </w:pPr>
      <w:rPr>
        <w:rFonts w:ascii="Symbol" w:hAnsi="Symbol" w:cs="Symbol" w:hint="default"/>
      </w:rPr>
    </w:lvl>
  </w:abstractNum>
  <w:abstractNum w:abstractNumId="8">
    <w:lvl w:ilvl="0">
      <w:start w:val="1"/>
      <w:numFmt w:val="bullet"/>
      <w:lvlText w:val="●"/>
      <w:lvlJc w:val="left"/>
      <w:pPr>
        <w:ind w:left="823" w:hanging="360"/>
      </w:pPr>
      <w:rPr>
        <w:rFonts w:ascii="Arial" w:hAnsi="Arial" w:cs="Arial" w:hint="default"/>
        <w:sz w:val="20"/>
        <w:i/>
        <w:szCs w:val="20"/>
        <w:rFonts w:cs="Arial"/>
        <w:color w:val="F150D4"/>
      </w:rPr>
    </w:lvl>
    <w:lvl w:ilvl="1">
      <w:start w:val="1"/>
      <w:numFmt w:val="bullet"/>
      <w:lvlText w:val=""/>
      <w:lvlJc w:val="left"/>
      <w:pPr>
        <w:ind w:left="1435" w:hanging="360"/>
      </w:pPr>
      <w:rPr>
        <w:rFonts w:ascii="Symbol" w:hAnsi="Symbol" w:cs="Symbol" w:hint="default"/>
      </w:rPr>
    </w:lvl>
    <w:lvl w:ilvl="2">
      <w:start w:val="1"/>
      <w:numFmt w:val="bullet"/>
      <w:lvlText w:val=""/>
      <w:lvlJc w:val="left"/>
      <w:pPr>
        <w:ind w:left="2051" w:hanging="360"/>
      </w:pPr>
      <w:rPr>
        <w:rFonts w:ascii="Symbol" w:hAnsi="Symbol" w:cs="Symbol" w:hint="default"/>
      </w:rPr>
    </w:lvl>
    <w:lvl w:ilvl="3">
      <w:start w:val="1"/>
      <w:numFmt w:val="bullet"/>
      <w:lvlText w:val=""/>
      <w:lvlJc w:val="left"/>
      <w:pPr>
        <w:ind w:left="2666" w:hanging="360"/>
      </w:pPr>
      <w:rPr>
        <w:rFonts w:ascii="Symbol" w:hAnsi="Symbol" w:cs="Symbol" w:hint="default"/>
      </w:rPr>
    </w:lvl>
    <w:lvl w:ilvl="4">
      <w:start w:val="1"/>
      <w:numFmt w:val="bullet"/>
      <w:lvlText w:val=""/>
      <w:lvlJc w:val="left"/>
      <w:pPr>
        <w:ind w:left="3282" w:hanging="360"/>
      </w:pPr>
      <w:rPr>
        <w:rFonts w:ascii="Symbol" w:hAnsi="Symbol" w:cs="Symbol" w:hint="default"/>
      </w:rPr>
    </w:lvl>
    <w:lvl w:ilvl="5">
      <w:start w:val="1"/>
      <w:numFmt w:val="bullet"/>
      <w:lvlText w:val=""/>
      <w:lvlJc w:val="left"/>
      <w:pPr>
        <w:ind w:left="3897" w:hanging="360"/>
      </w:pPr>
      <w:rPr>
        <w:rFonts w:ascii="Symbol" w:hAnsi="Symbol" w:cs="Symbol" w:hint="default"/>
      </w:rPr>
    </w:lvl>
    <w:lvl w:ilvl="6">
      <w:start w:val="1"/>
      <w:numFmt w:val="bullet"/>
      <w:lvlText w:val=""/>
      <w:lvlJc w:val="left"/>
      <w:pPr>
        <w:ind w:left="4513" w:hanging="360"/>
      </w:pPr>
      <w:rPr>
        <w:rFonts w:ascii="Symbol" w:hAnsi="Symbol" w:cs="Symbol" w:hint="default"/>
      </w:rPr>
    </w:lvl>
    <w:lvl w:ilvl="7">
      <w:start w:val="1"/>
      <w:numFmt w:val="bullet"/>
      <w:lvlText w:val=""/>
      <w:lvlJc w:val="left"/>
      <w:pPr>
        <w:ind w:left="5128" w:hanging="360"/>
      </w:pPr>
      <w:rPr>
        <w:rFonts w:ascii="Symbol" w:hAnsi="Symbol" w:cs="Symbol" w:hint="default"/>
      </w:rPr>
    </w:lvl>
    <w:lvl w:ilvl="8">
      <w:start w:val="1"/>
      <w:numFmt w:val="bullet"/>
      <w:lvlText w:val=""/>
      <w:lvlJc w:val="left"/>
      <w:pPr>
        <w:ind w:left="5744" w:hanging="360"/>
      </w:pPr>
      <w:rPr>
        <w:rFonts w:ascii="Symbol" w:hAnsi="Symbol" w:cs="Symbol" w:hint="default"/>
      </w:rPr>
    </w:lvl>
  </w:abstractNum>
  <w:abstractNum w:abstractNumId="9">
    <w:lvl w:ilvl="0">
      <w:start w:val="5"/>
      <w:numFmt w:val="decimal"/>
      <w:lvlText w:val="%1."/>
      <w:lvlJc w:val="left"/>
      <w:pPr>
        <w:ind w:left="641" w:hanging="420"/>
      </w:pPr>
      <w:rPr>
        <w:sz w:val="32"/>
        <w:b/>
        <w:szCs w:val="32"/>
        <w:rFonts w:eastAsia="Lexend Light" w:cs="Lexend Light"/>
        <w:color w:val="EC52C1"/>
      </w:rPr>
    </w:lvl>
    <w:lvl w:ilvl="1">
      <w:start w:val="1"/>
      <w:numFmt w:val="decimal"/>
      <w:lvlText w:val="%1.%2."/>
      <w:lvlJc w:val="left"/>
      <w:pPr>
        <w:ind w:left="1016" w:hanging="735"/>
      </w:pPr>
      <w:rPr>
        <w:sz w:val="22"/>
        <w:b/>
        <w:szCs w:val="22"/>
        <w:rFonts w:ascii="Lexend Light" w:hAnsi="Lexend Light"/>
      </w:rPr>
    </w:lvl>
    <w:lvl w:ilvl="2">
      <w:start w:val="1"/>
      <w:numFmt w:val="decimal"/>
      <w:lvlText w:val="%1.%2.%3."/>
      <w:lvlJc w:val="left"/>
      <w:pPr>
        <w:ind w:left="1451" w:hanging="510"/>
      </w:pPr>
      <w:rPr>
        <w:u w:val="single"/>
      </w:rPr>
    </w:lvl>
    <w:lvl w:ilvl="3">
      <w:start w:val="1"/>
      <w:numFmt w:val="bullet"/>
      <w:lvlText w:val=""/>
      <w:lvlJc w:val="left"/>
      <w:pPr>
        <w:ind w:left="2460" w:hanging="510"/>
      </w:pPr>
      <w:rPr>
        <w:rFonts w:ascii="Symbol" w:hAnsi="Symbol" w:cs="Symbol" w:hint="default"/>
      </w:rPr>
    </w:lvl>
    <w:lvl w:ilvl="4">
      <w:start w:val="1"/>
      <w:numFmt w:val="bullet"/>
      <w:lvlText w:val=""/>
      <w:lvlJc w:val="left"/>
      <w:pPr>
        <w:ind w:left="3460" w:hanging="510"/>
      </w:pPr>
      <w:rPr>
        <w:rFonts w:ascii="Symbol" w:hAnsi="Symbol" w:cs="Symbol" w:hint="default"/>
      </w:rPr>
    </w:lvl>
    <w:lvl w:ilvl="5">
      <w:start w:val="1"/>
      <w:numFmt w:val="bullet"/>
      <w:lvlText w:val=""/>
      <w:lvlJc w:val="left"/>
      <w:pPr>
        <w:ind w:left="4460" w:hanging="510"/>
      </w:pPr>
      <w:rPr>
        <w:rFonts w:ascii="Symbol" w:hAnsi="Symbol" w:cs="Symbol" w:hint="default"/>
      </w:rPr>
    </w:lvl>
    <w:lvl w:ilvl="6">
      <w:start w:val="1"/>
      <w:numFmt w:val="bullet"/>
      <w:lvlText w:val=""/>
      <w:lvlJc w:val="left"/>
      <w:pPr>
        <w:ind w:left="5460" w:hanging="510"/>
      </w:pPr>
      <w:rPr>
        <w:rFonts w:ascii="Symbol" w:hAnsi="Symbol" w:cs="Symbol" w:hint="default"/>
      </w:rPr>
    </w:lvl>
    <w:lvl w:ilvl="7">
      <w:start w:val="1"/>
      <w:numFmt w:val="bullet"/>
      <w:lvlText w:val=""/>
      <w:lvlJc w:val="left"/>
      <w:pPr>
        <w:ind w:left="6460" w:hanging="510"/>
      </w:pPr>
      <w:rPr>
        <w:rFonts w:ascii="Symbol" w:hAnsi="Symbol" w:cs="Symbol" w:hint="default"/>
      </w:rPr>
    </w:lvl>
    <w:lvl w:ilvl="8">
      <w:start w:val="1"/>
      <w:numFmt w:val="bullet"/>
      <w:lvlText w:val=""/>
      <w:lvlJc w:val="left"/>
      <w:pPr>
        <w:ind w:left="7460" w:hanging="510"/>
      </w:pPr>
      <w:rPr>
        <w:rFonts w:ascii="Symbol" w:hAnsi="Symbol" w:cs="Symbol" w:hint="default"/>
      </w:rPr>
    </w:lvl>
  </w:abstractNum>
  <w:abstractNum w:abstractNumId="10">
    <w:lvl w:ilvl="0">
      <w:start w:val="1"/>
      <w:numFmt w:val="decimal"/>
      <w:lvlText w:val="%1."/>
      <w:lvlJc w:val="left"/>
      <w:pPr>
        <w:ind w:left="474" w:hanging="254"/>
      </w:pPr>
      <w:rPr>
        <w:b/>
        <w:rFonts w:ascii="Tahoma" w:hAnsi="Tahoma"/>
      </w:rPr>
    </w:lvl>
    <w:lvl w:ilvl="1">
      <w:start w:val="1"/>
      <w:numFmt w:val="decimal"/>
      <w:lvlText w:val="%1.%2."/>
      <w:lvlJc w:val="left"/>
      <w:pPr>
        <w:ind w:left="935" w:hanging="355"/>
      </w:pPr>
    </w:lvl>
    <w:lvl w:ilvl="2">
      <w:start w:val="1"/>
      <w:numFmt w:val="bullet"/>
      <w:lvlText w:val=""/>
      <w:lvlJc w:val="left"/>
      <w:pPr>
        <w:ind w:left="900" w:hanging="355"/>
      </w:pPr>
      <w:rPr>
        <w:rFonts w:ascii="Symbol" w:hAnsi="Symbol" w:cs="Symbol" w:hint="default"/>
      </w:rPr>
    </w:lvl>
    <w:lvl w:ilvl="3">
      <w:start w:val="1"/>
      <w:numFmt w:val="bullet"/>
      <w:lvlText w:val=""/>
      <w:lvlJc w:val="left"/>
      <w:pPr>
        <w:ind w:left="920" w:hanging="355"/>
      </w:pPr>
      <w:rPr>
        <w:rFonts w:ascii="Symbol" w:hAnsi="Symbol" w:cs="Symbol" w:hint="default"/>
      </w:rPr>
    </w:lvl>
    <w:lvl w:ilvl="4">
      <w:start w:val="1"/>
      <w:numFmt w:val="bullet"/>
      <w:lvlText w:val=""/>
      <w:lvlJc w:val="left"/>
      <w:pPr>
        <w:ind w:left="940" w:hanging="355"/>
      </w:pPr>
      <w:rPr>
        <w:rFonts w:ascii="Symbol" w:hAnsi="Symbol" w:cs="Symbol" w:hint="default"/>
      </w:rPr>
    </w:lvl>
    <w:lvl w:ilvl="5">
      <w:start w:val="1"/>
      <w:numFmt w:val="bullet"/>
      <w:lvlText w:val=""/>
      <w:lvlJc w:val="left"/>
      <w:pPr>
        <w:ind w:left="2360" w:hanging="355"/>
      </w:pPr>
      <w:rPr>
        <w:rFonts w:ascii="Symbol" w:hAnsi="Symbol" w:cs="Symbol" w:hint="default"/>
      </w:rPr>
    </w:lvl>
    <w:lvl w:ilvl="6">
      <w:start w:val="1"/>
      <w:numFmt w:val="bullet"/>
      <w:lvlText w:val=""/>
      <w:lvlJc w:val="left"/>
      <w:pPr>
        <w:ind w:left="3780" w:hanging="355"/>
      </w:pPr>
      <w:rPr>
        <w:rFonts w:ascii="Symbol" w:hAnsi="Symbol" w:cs="Symbol" w:hint="default"/>
      </w:rPr>
    </w:lvl>
    <w:lvl w:ilvl="7">
      <w:start w:val="1"/>
      <w:numFmt w:val="bullet"/>
      <w:lvlText w:val=""/>
      <w:lvlJc w:val="left"/>
      <w:pPr>
        <w:ind w:left="5200" w:hanging="355"/>
      </w:pPr>
      <w:rPr>
        <w:rFonts w:ascii="Symbol" w:hAnsi="Symbol" w:cs="Symbol" w:hint="default"/>
      </w:rPr>
    </w:lvl>
    <w:lvl w:ilvl="8">
      <w:start w:val="1"/>
      <w:numFmt w:val="bullet"/>
      <w:lvlText w:val=""/>
      <w:lvlJc w:val="left"/>
      <w:pPr>
        <w:ind w:left="6620" w:hanging="355"/>
      </w:pPr>
      <w:rPr>
        <w:rFonts w:ascii="Symbol" w:hAnsi="Symbol" w:cs="Symbol" w:hint="default"/>
      </w:rPr>
    </w:lvl>
  </w:abstractNum>
  <w:abstractNum w:abstractNumId="11">
    <w:lvl w:ilvl="0">
      <w:start w:val="1"/>
      <w:numFmt w:val="bullet"/>
      <w:lvlText w:val="●"/>
      <w:lvlJc w:val="left"/>
      <w:pPr>
        <w:ind w:left="823" w:hanging="360"/>
      </w:pPr>
      <w:rPr>
        <w:rFonts w:ascii="Helvetica Neue" w:hAnsi="Helvetica Neue" w:cs="Helvetica Neue" w:hint="default"/>
        <w:sz w:val="20"/>
        <w:szCs w:val="20"/>
        <w:rFonts w:cs="Helvetica Neue"/>
        <w:color w:val="F150D4"/>
      </w:rPr>
    </w:lvl>
    <w:lvl w:ilvl="1">
      <w:start w:val="1"/>
      <w:numFmt w:val="bullet"/>
      <w:lvlText w:val=""/>
      <w:lvlJc w:val="left"/>
      <w:pPr>
        <w:ind w:left="1435" w:hanging="360"/>
      </w:pPr>
      <w:rPr>
        <w:rFonts w:ascii="Symbol" w:hAnsi="Symbol" w:cs="Symbol" w:hint="default"/>
      </w:rPr>
    </w:lvl>
    <w:lvl w:ilvl="2">
      <w:start w:val="1"/>
      <w:numFmt w:val="bullet"/>
      <w:lvlText w:val=""/>
      <w:lvlJc w:val="left"/>
      <w:pPr>
        <w:ind w:left="2051" w:hanging="360"/>
      </w:pPr>
      <w:rPr>
        <w:rFonts w:ascii="Symbol" w:hAnsi="Symbol" w:cs="Symbol" w:hint="default"/>
      </w:rPr>
    </w:lvl>
    <w:lvl w:ilvl="3">
      <w:start w:val="1"/>
      <w:numFmt w:val="bullet"/>
      <w:lvlText w:val=""/>
      <w:lvlJc w:val="left"/>
      <w:pPr>
        <w:ind w:left="2666" w:hanging="360"/>
      </w:pPr>
      <w:rPr>
        <w:rFonts w:ascii="Symbol" w:hAnsi="Symbol" w:cs="Symbol" w:hint="default"/>
      </w:rPr>
    </w:lvl>
    <w:lvl w:ilvl="4">
      <w:start w:val="1"/>
      <w:numFmt w:val="bullet"/>
      <w:lvlText w:val=""/>
      <w:lvlJc w:val="left"/>
      <w:pPr>
        <w:ind w:left="3282" w:hanging="360"/>
      </w:pPr>
      <w:rPr>
        <w:rFonts w:ascii="Symbol" w:hAnsi="Symbol" w:cs="Symbol" w:hint="default"/>
      </w:rPr>
    </w:lvl>
    <w:lvl w:ilvl="5">
      <w:start w:val="1"/>
      <w:numFmt w:val="bullet"/>
      <w:lvlText w:val=""/>
      <w:lvlJc w:val="left"/>
      <w:pPr>
        <w:ind w:left="3897" w:hanging="360"/>
      </w:pPr>
      <w:rPr>
        <w:rFonts w:ascii="Symbol" w:hAnsi="Symbol" w:cs="Symbol" w:hint="default"/>
      </w:rPr>
    </w:lvl>
    <w:lvl w:ilvl="6">
      <w:start w:val="1"/>
      <w:numFmt w:val="bullet"/>
      <w:lvlText w:val=""/>
      <w:lvlJc w:val="left"/>
      <w:pPr>
        <w:ind w:left="4513" w:hanging="360"/>
      </w:pPr>
      <w:rPr>
        <w:rFonts w:ascii="Symbol" w:hAnsi="Symbol" w:cs="Symbol" w:hint="default"/>
      </w:rPr>
    </w:lvl>
    <w:lvl w:ilvl="7">
      <w:start w:val="1"/>
      <w:numFmt w:val="bullet"/>
      <w:lvlText w:val=""/>
      <w:lvlJc w:val="left"/>
      <w:pPr>
        <w:ind w:left="5128" w:hanging="360"/>
      </w:pPr>
      <w:rPr>
        <w:rFonts w:ascii="Symbol" w:hAnsi="Symbol" w:cs="Symbol" w:hint="default"/>
      </w:rPr>
    </w:lvl>
    <w:lvl w:ilvl="8">
      <w:start w:val="1"/>
      <w:numFmt w:val="bullet"/>
      <w:lvlText w:val=""/>
      <w:lvlJc w:val="left"/>
      <w:pPr>
        <w:ind w:left="5744" w:hanging="360"/>
      </w:pPr>
      <w:rPr>
        <w:rFonts w:ascii="Symbol" w:hAnsi="Symbol" w:cs="Symbol" w:hint="default"/>
      </w:rPr>
    </w:lvl>
  </w:abstractNum>
  <w:abstractNum w:abstractNumId="12">
    <w:lvl w:ilvl="0">
      <w:start w:val="13"/>
      <w:numFmt w:val="decimal"/>
      <w:lvlText w:val="%1."/>
      <w:lvlJc w:val="left"/>
      <w:pPr>
        <w:ind w:left="463" w:hanging="360"/>
      </w:pPr>
      <w:rPr>
        <w:sz w:val="20"/>
        <w:b/>
        <w:szCs w:val="20"/>
        <w:rFonts w:eastAsia="Tahoma" w:cs="Tahoma"/>
        <w:color w:val="6F2FA0"/>
      </w:rPr>
    </w:lvl>
    <w:lvl w:ilvl="1">
      <w:start w:val="1"/>
      <w:numFmt w:val="bullet"/>
      <w:lvlText w:val="●"/>
      <w:lvlJc w:val="left"/>
      <w:pPr>
        <w:ind w:left="823" w:hanging="360"/>
      </w:pPr>
      <w:rPr>
        <w:rFonts w:ascii="Arial" w:hAnsi="Arial" w:cs="Arial" w:hint="default"/>
        <w:sz w:val="20"/>
        <w:i/>
        <w:szCs w:val="20"/>
        <w:rFonts w:cs="Arial"/>
        <w:color w:val="F150D4"/>
      </w:rPr>
    </w:lvl>
    <w:lvl w:ilvl="2">
      <w:start w:val="1"/>
      <w:numFmt w:val="bullet"/>
      <w:lvlText w:val=""/>
      <w:lvlJc w:val="left"/>
      <w:pPr>
        <w:ind w:left="1503" w:hanging="360"/>
      </w:pPr>
      <w:rPr>
        <w:rFonts w:ascii="Symbol" w:hAnsi="Symbol" w:cs="Symbol" w:hint="default"/>
      </w:rPr>
    </w:lvl>
    <w:lvl w:ilvl="3">
      <w:start w:val="1"/>
      <w:numFmt w:val="bullet"/>
      <w:lvlText w:val=""/>
      <w:lvlJc w:val="left"/>
      <w:pPr>
        <w:ind w:left="2187" w:hanging="360"/>
      </w:pPr>
      <w:rPr>
        <w:rFonts w:ascii="Symbol" w:hAnsi="Symbol" w:cs="Symbol" w:hint="default"/>
      </w:rPr>
    </w:lvl>
    <w:lvl w:ilvl="4">
      <w:start w:val="1"/>
      <w:numFmt w:val="bullet"/>
      <w:lvlText w:val=""/>
      <w:lvlJc w:val="left"/>
      <w:pPr>
        <w:ind w:left="2871" w:hanging="360"/>
      </w:pPr>
      <w:rPr>
        <w:rFonts w:ascii="Symbol" w:hAnsi="Symbol" w:cs="Symbol" w:hint="default"/>
      </w:rPr>
    </w:lvl>
    <w:lvl w:ilvl="5">
      <w:start w:val="1"/>
      <w:numFmt w:val="bullet"/>
      <w:lvlText w:val=""/>
      <w:lvlJc w:val="left"/>
      <w:pPr>
        <w:ind w:left="3555" w:hanging="360"/>
      </w:pPr>
      <w:rPr>
        <w:rFonts w:ascii="Symbol" w:hAnsi="Symbol" w:cs="Symbol" w:hint="default"/>
      </w:rPr>
    </w:lvl>
    <w:lvl w:ilvl="6">
      <w:start w:val="1"/>
      <w:numFmt w:val="bullet"/>
      <w:lvlText w:val=""/>
      <w:lvlJc w:val="left"/>
      <w:pPr>
        <w:ind w:left="4239" w:hanging="360"/>
      </w:pPr>
      <w:rPr>
        <w:rFonts w:ascii="Symbol" w:hAnsi="Symbol" w:cs="Symbol" w:hint="default"/>
      </w:rPr>
    </w:lvl>
    <w:lvl w:ilvl="7">
      <w:start w:val="1"/>
      <w:numFmt w:val="bullet"/>
      <w:lvlText w:val=""/>
      <w:lvlJc w:val="left"/>
      <w:pPr>
        <w:ind w:left="4923" w:hanging="360"/>
      </w:pPr>
      <w:rPr>
        <w:rFonts w:ascii="Symbol" w:hAnsi="Symbol" w:cs="Symbol" w:hint="default"/>
      </w:rPr>
    </w:lvl>
    <w:lvl w:ilvl="8">
      <w:start w:val="1"/>
      <w:numFmt w:val="bullet"/>
      <w:lvlText w:val=""/>
      <w:lvlJc w:val="left"/>
      <w:pPr>
        <w:ind w:left="5607" w:hanging="360"/>
      </w:pPr>
      <w:rPr>
        <w:rFonts w:ascii="Symbol" w:hAnsi="Symbol" w:cs="Symbol" w:hint="default"/>
      </w:rPr>
    </w:lvl>
  </w:abstractNum>
  <w:abstractNum w:abstractNumId="13">
    <w:lvl w:ilvl="0">
      <w:start w:val="1"/>
      <w:numFmt w:val="bullet"/>
      <w:lvlText w:val=""/>
      <w:lvlJc w:val="left"/>
      <w:pPr>
        <w:ind w:left="581" w:hanging="360"/>
      </w:pPr>
      <w:rPr>
        <w:rFonts w:ascii="Wingdings" w:hAnsi="Wingdings" w:cs="Wingdings" w:hint="default"/>
        <w:color w:val="EC52C1"/>
      </w:rPr>
    </w:lvl>
    <w:lvl w:ilvl="1">
      <w:start w:val="1"/>
      <w:numFmt w:val="bullet"/>
      <w:lvlText w:val=""/>
      <w:lvlJc w:val="left"/>
      <w:pPr>
        <w:ind w:left="1468" w:hanging="360"/>
      </w:pPr>
      <w:rPr>
        <w:rFonts w:ascii="Symbol" w:hAnsi="Symbol" w:cs="Symbol" w:hint="default"/>
      </w:rPr>
    </w:lvl>
    <w:lvl w:ilvl="2">
      <w:start w:val="1"/>
      <w:numFmt w:val="bullet"/>
      <w:lvlText w:val=""/>
      <w:lvlJc w:val="left"/>
      <w:pPr>
        <w:ind w:left="2356" w:hanging="360"/>
      </w:pPr>
      <w:rPr>
        <w:rFonts w:ascii="Symbol" w:hAnsi="Symbol" w:cs="Symbol" w:hint="default"/>
      </w:rPr>
    </w:lvl>
    <w:lvl w:ilvl="3">
      <w:start w:val="1"/>
      <w:numFmt w:val="bullet"/>
      <w:lvlText w:val=""/>
      <w:lvlJc w:val="left"/>
      <w:pPr>
        <w:ind w:left="3244" w:hanging="360"/>
      </w:pPr>
      <w:rPr>
        <w:rFonts w:ascii="Symbol" w:hAnsi="Symbol" w:cs="Symbol" w:hint="default"/>
      </w:rPr>
    </w:lvl>
    <w:lvl w:ilvl="4">
      <w:start w:val="1"/>
      <w:numFmt w:val="bullet"/>
      <w:lvlText w:val=""/>
      <w:lvlJc w:val="left"/>
      <w:pPr>
        <w:ind w:left="4132" w:hanging="360"/>
      </w:pPr>
      <w:rPr>
        <w:rFonts w:ascii="Symbol" w:hAnsi="Symbol" w:cs="Symbol" w:hint="default"/>
      </w:rPr>
    </w:lvl>
    <w:lvl w:ilvl="5">
      <w:start w:val="1"/>
      <w:numFmt w:val="bullet"/>
      <w:lvlText w:val=""/>
      <w:lvlJc w:val="left"/>
      <w:pPr>
        <w:ind w:left="5020" w:hanging="360"/>
      </w:pPr>
      <w:rPr>
        <w:rFonts w:ascii="Symbol" w:hAnsi="Symbol" w:cs="Symbol" w:hint="default"/>
      </w:rPr>
    </w:lvl>
    <w:lvl w:ilvl="6">
      <w:start w:val="1"/>
      <w:numFmt w:val="bullet"/>
      <w:lvlText w:val=""/>
      <w:lvlJc w:val="left"/>
      <w:pPr>
        <w:ind w:left="5908" w:hanging="360"/>
      </w:pPr>
      <w:rPr>
        <w:rFonts w:ascii="Symbol" w:hAnsi="Symbol" w:cs="Symbol" w:hint="default"/>
      </w:rPr>
    </w:lvl>
    <w:lvl w:ilvl="7">
      <w:start w:val="1"/>
      <w:numFmt w:val="bullet"/>
      <w:lvlText w:val=""/>
      <w:lvlJc w:val="left"/>
      <w:pPr>
        <w:ind w:left="6796" w:hanging="360"/>
      </w:pPr>
      <w:rPr>
        <w:rFonts w:ascii="Symbol" w:hAnsi="Symbol" w:cs="Symbol" w:hint="default"/>
      </w:rPr>
    </w:lvl>
    <w:lvl w:ilvl="8">
      <w:start w:val="1"/>
      <w:numFmt w:val="bullet"/>
      <w:lvlText w:val=""/>
      <w:lvlJc w:val="left"/>
      <w:pPr>
        <w:ind w:left="7684" w:hanging="360"/>
      </w:pPr>
      <w:rPr>
        <w:rFonts w:ascii="Symbol" w:hAnsi="Symbol" w:cs="Symbol" w:hint="default"/>
      </w:rPr>
    </w:lvl>
  </w:abstractNum>
  <w:abstractNum w:abstractNumId="14">
    <w:lvl w:ilvl="0">
      <w:start w:val="1"/>
      <w:numFmt w:val="bullet"/>
      <w:lvlText w:val="●"/>
      <w:lvlJc w:val="left"/>
      <w:pPr>
        <w:ind w:left="581" w:hanging="360"/>
      </w:pPr>
      <w:rPr>
        <w:rFonts w:ascii="Arial" w:hAnsi="Arial" w:cs="Arial" w:hint="default"/>
        <w:sz w:val="22"/>
        <w:b/>
        <w:szCs w:val="22"/>
        <w:rFonts w:cs="Arial"/>
        <w:color w:val="EC52C1"/>
      </w:rPr>
    </w:lvl>
    <w:lvl w:ilvl="1">
      <w:start w:val="1"/>
      <w:numFmt w:val="bullet"/>
      <w:lvlText w:val=""/>
      <w:lvlJc w:val="left"/>
      <w:pPr>
        <w:ind w:left="1468" w:hanging="360"/>
      </w:pPr>
      <w:rPr>
        <w:rFonts w:ascii="Symbol" w:hAnsi="Symbol" w:cs="Symbol" w:hint="default"/>
      </w:rPr>
    </w:lvl>
    <w:lvl w:ilvl="2">
      <w:start w:val="1"/>
      <w:numFmt w:val="bullet"/>
      <w:lvlText w:val=""/>
      <w:lvlJc w:val="left"/>
      <w:pPr>
        <w:ind w:left="2356" w:hanging="360"/>
      </w:pPr>
      <w:rPr>
        <w:rFonts w:ascii="Symbol" w:hAnsi="Symbol" w:cs="Symbol" w:hint="default"/>
      </w:rPr>
    </w:lvl>
    <w:lvl w:ilvl="3">
      <w:start w:val="1"/>
      <w:numFmt w:val="bullet"/>
      <w:lvlText w:val=""/>
      <w:lvlJc w:val="left"/>
      <w:pPr>
        <w:ind w:left="3244" w:hanging="360"/>
      </w:pPr>
      <w:rPr>
        <w:rFonts w:ascii="Symbol" w:hAnsi="Symbol" w:cs="Symbol" w:hint="default"/>
      </w:rPr>
    </w:lvl>
    <w:lvl w:ilvl="4">
      <w:start w:val="1"/>
      <w:numFmt w:val="bullet"/>
      <w:lvlText w:val=""/>
      <w:lvlJc w:val="left"/>
      <w:pPr>
        <w:ind w:left="4132" w:hanging="360"/>
      </w:pPr>
      <w:rPr>
        <w:rFonts w:ascii="Symbol" w:hAnsi="Symbol" w:cs="Symbol" w:hint="default"/>
      </w:rPr>
    </w:lvl>
    <w:lvl w:ilvl="5">
      <w:start w:val="1"/>
      <w:numFmt w:val="bullet"/>
      <w:lvlText w:val=""/>
      <w:lvlJc w:val="left"/>
      <w:pPr>
        <w:ind w:left="5020" w:hanging="360"/>
      </w:pPr>
      <w:rPr>
        <w:rFonts w:ascii="Symbol" w:hAnsi="Symbol" w:cs="Symbol" w:hint="default"/>
      </w:rPr>
    </w:lvl>
    <w:lvl w:ilvl="6">
      <w:start w:val="1"/>
      <w:numFmt w:val="bullet"/>
      <w:lvlText w:val=""/>
      <w:lvlJc w:val="left"/>
      <w:pPr>
        <w:ind w:left="5908" w:hanging="360"/>
      </w:pPr>
      <w:rPr>
        <w:rFonts w:ascii="Symbol" w:hAnsi="Symbol" w:cs="Symbol" w:hint="default"/>
      </w:rPr>
    </w:lvl>
    <w:lvl w:ilvl="7">
      <w:start w:val="1"/>
      <w:numFmt w:val="bullet"/>
      <w:lvlText w:val=""/>
      <w:lvlJc w:val="left"/>
      <w:pPr>
        <w:ind w:left="6796" w:hanging="360"/>
      </w:pPr>
      <w:rPr>
        <w:rFonts w:ascii="Symbol" w:hAnsi="Symbol" w:cs="Symbol" w:hint="default"/>
      </w:rPr>
    </w:lvl>
    <w:lvl w:ilvl="8">
      <w:start w:val="1"/>
      <w:numFmt w:val="bullet"/>
      <w:lvlText w:val=""/>
      <w:lvlJc w:val="left"/>
      <w:pPr>
        <w:ind w:left="7684" w:hanging="360"/>
      </w:pPr>
      <w:rPr>
        <w:rFonts w:ascii="Symbol" w:hAnsi="Symbol" w:cs="Symbol" w:hint="default"/>
      </w:rPr>
    </w:lvl>
  </w:abstractNum>
  <w:abstractNum w:abstractNumId="15">
    <w:lvl w:ilvl="0">
      <w:start w:val="5"/>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rPr>
        <w:sz w:val="22"/>
        <w:b w:val="false"/>
        <w:szCs w:val="22"/>
        <w:rFonts w:ascii="Lexend Light" w:hAnsi="Lexend Light" w:eastAsia="Lexend" w:cs="Lexend"/>
        <w:color w:val="ED4FD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lvl w:ilvl="0">
      <w:start w:val="1"/>
      <w:numFmt w:val="bullet"/>
      <w:lvlText w:val=""/>
      <w:lvlJc w:val="left"/>
      <w:pPr>
        <w:ind w:left="581" w:hanging="360"/>
      </w:pPr>
      <w:rPr>
        <w:rFonts w:ascii="Wingdings" w:hAnsi="Wingdings" w:cs="Wingdings" w:hint="default"/>
      </w:rPr>
    </w:lvl>
    <w:lvl w:ilvl="1">
      <w:start w:val="1"/>
      <w:numFmt w:val="bullet"/>
      <w:lvlText w:val=""/>
      <w:lvlJc w:val="left"/>
      <w:pPr>
        <w:ind w:left="1468" w:hanging="360"/>
      </w:pPr>
      <w:rPr>
        <w:rFonts w:ascii="Symbol" w:hAnsi="Symbol" w:cs="Symbol" w:hint="default"/>
      </w:rPr>
    </w:lvl>
    <w:lvl w:ilvl="2">
      <w:start w:val="1"/>
      <w:numFmt w:val="bullet"/>
      <w:lvlText w:val=""/>
      <w:lvlJc w:val="left"/>
      <w:pPr>
        <w:ind w:left="2356" w:hanging="360"/>
      </w:pPr>
      <w:rPr>
        <w:rFonts w:ascii="Symbol" w:hAnsi="Symbol" w:cs="Symbol" w:hint="default"/>
      </w:rPr>
    </w:lvl>
    <w:lvl w:ilvl="3">
      <w:start w:val="1"/>
      <w:numFmt w:val="bullet"/>
      <w:lvlText w:val=""/>
      <w:lvlJc w:val="left"/>
      <w:pPr>
        <w:ind w:left="3244" w:hanging="360"/>
      </w:pPr>
      <w:rPr>
        <w:rFonts w:ascii="Symbol" w:hAnsi="Symbol" w:cs="Symbol" w:hint="default"/>
      </w:rPr>
    </w:lvl>
    <w:lvl w:ilvl="4">
      <w:start w:val="1"/>
      <w:numFmt w:val="bullet"/>
      <w:lvlText w:val=""/>
      <w:lvlJc w:val="left"/>
      <w:pPr>
        <w:ind w:left="4132" w:hanging="360"/>
      </w:pPr>
      <w:rPr>
        <w:rFonts w:ascii="Symbol" w:hAnsi="Symbol" w:cs="Symbol" w:hint="default"/>
      </w:rPr>
    </w:lvl>
    <w:lvl w:ilvl="5">
      <w:start w:val="1"/>
      <w:numFmt w:val="bullet"/>
      <w:lvlText w:val=""/>
      <w:lvlJc w:val="left"/>
      <w:pPr>
        <w:ind w:left="5020" w:hanging="360"/>
      </w:pPr>
      <w:rPr>
        <w:rFonts w:ascii="Symbol" w:hAnsi="Symbol" w:cs="Symbol" w:hint="default"/>
      </w:rPr>
    </w:lvl>
    <w:lvl w:ilvl="6">
      <w:start w:val="1"/>
      <w:numFmt w:val="bullet"/>
      <w:lvlText w:val=""/>
      <w:lvlJc w:val="left"/>
      <w:pPr>
        <w:ind w:left="5908" w:hanging="360"/>
      </w:pPr>
      <w:rPr>
        <w:rFonts w:ascii="Symbol" w:hAnsi="Symbol" w:cs="Symbol" w:hint="default"/>
      </w:rPr>
    </w:lvl>
    <w:lvl w:ilvl="7">
      <w:start w:val="1"/>
      <w:numFmt w:val="bullet"/>
      <w:lvlText w:val=""/>
      <w:lvlJc w:val="left"/>
      <w:pPr>
        <w:ind w:left="6796" w:hanging="360"/>
      </w:pPr>
      <w:rPr>
        <w:rFonts w:ascii="Symbol" w:hAnsi="Symbol" w:cs="Symbol" w:hint="default"/>
      </w:rPr>
    </w:lvl>
    <w:lvl w:ilvl="8">
      <w:start w:val="1"/>
      <w:numFmt w:val="bullet"/>
      <w:lvlText w:val=""/>
      <w:lvlJc w:val="left"/>
      <w:pPr>
        <w:ind w:left="7684" w:hanging="360"/>
      </w:pPr>
      <w:rPr>
        <w:rFonts w:ascii="Symbol" w:hAnsi="Symbol" w:cs="Symbol" w:hint="default"/>
      </w:rPr>
    </w:lvl>
  </w:abstractNum>
  <w:abstractNum w:abstractNumId="17">
    <w:lvl w:ilvl="0">
      <w:start w:val="4"/>
      <w:numFmt w:val="decimal"/>
      <w:lvlText w:val="%1."/>
      <w:lvlJc w:val="left"/>
      <w:pPr>
        <w:ind w:left="360" w:hanging="360"/>
      </w:pPr>
    </w:lvl>
    <w:lvl w:ilvl="1">
      <w:start w:val="2"/>
      <w:numFmt w:val="decimal"/>
      <w:lvlText w:val="%2."/>
      <w:lvlJc w:val="left"/>
      <w:pPr>
        <w:ind w:left="720" w:hanging="360"/>
      </w:pPr>
    </w:lvl>
    <w:lvl w:ilvl="2">
      <w:start w:val="1"/>
      <w:numFmt w:val="decimal"/>
      <w:lvlText w:val="%1.%2.%3."/>
      <w:lvlJc w:val="left"/>
      <w:pPr>
        <w:ind w:left="1224" w:hanging="504"/>
      </w:pPr>
      <w:rPr>
        <w:sz w:val="22"/>
        <w:b w:val="false"/>
        <w:szCs w:val="22"/>
        <w:rFonts w:ascii="Lexend Light" w:hAnsi="Lexend Light" w:eastAsia="Lexend" w:cs="Lexend"/>
        <w:color w:val="ED4FD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lvl w:ilvl="0">
      <w:start w:val="3"/>
      <w:numFmt w:val="decimal"/>
      <w:lvlText w:val="%1."/>
      <w:lvlJc w:val="left"/>
      <w:pPr>
        <w:ind w:left="463" w:hanging="360"/>
      </w:pPr>
      <w:rPr>
        <w:sz w:val="20"/>
        <w:b/>
        <w:szCs w:val="20"/>
        <w:rFonts w:eastAsia="Tahoma" w:cs="Tahoma"/>
        <w:color w:val="6F2FA0"/>
      </w:rPr>
    </w:lvl>
    <w:lvl w:ilvl="1">
      <w:start w:val="1"/>
      <w:numFmt w:val="bullet"/>
      <w:lvlText w:val="●"/>
      <w:lvlJc w:val="left"/>
      <w:pPr>
        <w:ind w:left="823" w:hanging="360"/>
      </w:pPr>
      <w:rPr>
        <w:rFonts w:ascii="Helvetica Neue" w:hAnsi="Helvetica Neue" w:cs="Helvetica Neue" w:hint="default"/>
        <w:sz w:val="20"/>
        <w:szCs w:val="20"/>
        <w:rFonts w:cs="Helvetica Neue"/>
        <w:color w:val="F150D4"/>
      </w:rPr>
    </w:lvl>
    <w:lvl w:ilvl="2">
      <w:start w:val="1"/>
      <w:numFmt w:val="bullet"/>
      <w:lvlText w:val=""/>
      <w:lvlJc w:val="left"/>
      <w:pPr>
        <w:ind w:left="1503" w:hanging="360"/>
      </w:pPr>
      <w:rPr>
        <w:rFonts w:ascii="Symbol" w:hAnsi="Symbol" w:cs="Symbol" w:hint="default"/>
      </w:rPr>
    </w:lvl>
    <w:lvl w:ilvl="3">
      <w:start w:val="1"/>
      <w:numFmt w:val="bullet"/>
      <w:lvlText w:val=""/>
      <w:lvlJc w:val="left"/>
      <w:pPr>
        <w:ind w:left="2187" w:hanging="360"/>
      </w:pPr>
      <w:rPr>
        <w:rFonts w:ascii="Symbol" w:hAnsi="Symbol" w:cs="Symbol" w:hint="default"/>
      </w:rPr>
    </w:lvl>
    <w:lvl w:ilvl="4">
      <w:start w:val="1"/>
      <w:numFmt w:val="bullet"/>
      <w:lvlText w:val=""/>
      <w:lvlJc w:val="left"/>
      <w:pPr>
        <w:ind w:left="2871" w:hanging="360"/>
      </w:pPr>
      <w:rPr>
        <w:rFonts w:ascii="Symbol" w:hAnsi="Symbol" w:cs="Symbol" w:hint="default"/>
      </w:rPr>
    </w:lvl>
    <w:lvl w:ilvl="5">
      <w:start w:val="1"/>
      <w:numFmt w:val="bullet"/>
      <w:lvlText w:val=""/>
      <w:lvlJc w:val="left"/>
      <w:pPr>
        <w:ind w:left="3555" w:hanging="360"/>
      </w:pPr>
      <w:rPr>
        <w:rFonts w:ascii="Symbol" w:hAnsi="Symbol" w:cs="Symbol" w:hint="default"/>
      </w:rPr>
    </w:lvl>
    <w:lvl w:ilvl="6">
      <w:start w:val="1"/>
      <w:numFmt w:val="bullet"/>
      <w:lvlText w:val=""/>
      <w:lvlJc w:val="left"/>
      <w:pPr>
        <w:ind w:left="4239" w:hanging="360"/>
      </w:pPr>
      <w:rPr>
        <w:rFonts w:ascii="Symbol" w:hAnsi="Symbol" w:cs="Symbol" w:hint="default"/>
      </w:rPr>
    </w:lvl>
    <w:lvl w:ilvl="7">
      <w:start w:val="1"/>
      <w:numFmt w:val="bullet"/>
      <w:lvlText w:val=""/>
      <w:lvlJc w:val="left"/>
      <w:pPr>
        <w:ind w:left="4923" w:hanging="360"/>
      </w:pPr>
      <w:rPr>
        <w:rFonts w:ascii="Symbol" w:hAnsi="Symbol" w:cs="Symbol" w:hint="default"/>
      </w:rPr>
    </w:lvl>
    <w:lvl w:ilvl="8">
      <w:start w:val="1"/>
      <w:numFmt w:val="bullet"/>
      <w:lvlText w:val=""/>
      <w:lvlJc w:val="left"/>
      <w:pPr>
        <w:ind w:left="5607" w:hanging="360"/>
      </w:pPr>
      <w:rPr>
        <w:rFonts w:ascii="Symbol" w:hAnsi="Symbol" w:cs="Symbol" w:hint="default"/>
      </w:rPr>
    </w:lvl>
  </w:abstractNum>
  <w:abstractNum w:abstractNumId="19">
    <w:lvl w:ilvl="0">
      <w:start w:val="2"/>
      <w:numFmt w:val="decimal"/>
      <w:lvlText w:val="%1."/>
      <w:lvlJc w:val="left"/>
      <w:pPr>
        <w:ind w:left="463" w:hanging="360"/>
      </w:pPr>
      <w:rPr>
        <w:sz w:val="20"/>
        <w:b/>
        <w:szCs w:val="20"/>
        <w:rFonts w:eastAsia="Tahoma" w:cs="Tahoma"/>
        <w:color w:val="6F2FA0"/>
      </w:rPr>
    </w:lvl>
    <w:lvl w:ilvl="1">
      <w:start w:val="1"/>
      <w:numFmt w:val="bullet"/>
      <w:lvlText w:val="●"/>
      <w:lvlJc w:val="left"/>
      <w:pPr>
        <w:ind w:left="823" w:hanging="360"/>
      </w:pPr>
      <w:rPr>
        <w:rFonts w:ascii="Helvetica Neue" w:hAnsi="Helvetica Neue" w:cs="Helvetica Neue" w:hint="default"/>
        <w:sz w:val="20"/>
        <w:szCs w:val="20"/>
        <w:rFonts w:cs="Helvetica Neue"/>
        <w:color w:val="F150D4"/>
      </w:rPr>
    </w:lvl>
    <w:lvl w:ilvl="2">
      <w:start w:val="1"/>
      <w:numFmt w:val="bullet"/>
      <w:lvlText w:val=""/>
      <w:lvlJc w:val="left"/>
      <w:pPr>
        <w:ind w:left="1503" w:hanging="360"/>
      </w:pPr>
      <w:rPr>
        <w:rFonts w:ascii="Symbol" w:hAnsi="Symbol" w:cs="Symbol" w:hint="default"/>
      </w:rPr>
    </w:lvl>
    <w:lvl w:ilvl="3">
      <w:start w:val="1"/>
      <w:numFmt w:val="bullet"/>
      <w:lvlText w:val=""/>
      <w:lvlJc w:val="left"/>
      <w:pPr>
        <w:ind w:left="2187" w:hanging="360"/>
      </w:pPr>
      <w:rPr>
        <w:rFonts w:ascii="Symbol" w:hAnsi="Symbol" w:cs="Symbol" w:hint="default"/>
      </w:rPr>
    </w:lvl>
    <w:lvl w:ilvl="4">
      <w:start w:val="1"/>
      <w:numFmt w:val="bullet"/>
      <w:lvlText w:val=""/>
      <w:lvlJc w:val="left"/>
      <w:pPr>
        <w:ind w:left="2871" w:hanging="360"/>
      </w:pPr>
      <w:rPr>
        <w:rFonts w:ascii="Symbol" w:hAnsi="Symbol" w:cs="Symbol" w:hint="default"/>
      </w:rPr>
    </w:lvl>
    <w:lvl w:ilvl="5">
      <w:start w:val="1"/>
      <w:numFmt w:val="bullet"/>
      <w:lvlText w:val=""/>
      <w:lvlJc w:val="left"/>
      <w:pPr>
        <w:ind w:left="3555" w:hanging="360"/>
      </w:pPr>
      <w:rPr>
        <w:rFonts w:ascii="Symbol" w:hAnsi="Symbol" w:cs="Symbol" w:hint="default"/>
      </w:rPr>
    </w:lvl>
    <w:lvl w:ilvl="6">
      <w:start w:val="1"/>
      <w:numFmt w:val="bullet"/>
      <w:lvlText w:val=""/>
      <w:lvlJc w:val="left"/>
      <w:pPr>
        <w:ind w:left="4239" w:hanging="360"/>
      </w:pPr>
      <w:rPr>
        <w:rFonts w:ascii="Symbol" w:hAnsi="Symbol" w:cs="Symbol" w:hint="default"/>
      </w:rPr>
    </w:lvl>
    <w:lvl w:ilvl="7">
      <w:start w:val="1"/>
      <w:numFmt w:val="bullet"/>
      <w:lvlText w:val=""/>
      <w:lvlJc w:val="left"/>
      <w:pPr>
        <w:ind w:left="4923" w:hanging="360"/>
      </w:pPr>
      <w:rPr>
        <w:rFonts w:ascii="Symbol" w:hAnsi="Symbol" w:cs="Symbol" w:hint="default"/>
      </w:rPr>
    </w:lvl>
    <w:lvl w:ilvl="8">
      <w:start w:val="1"/>
      <w:numFmt w:val="bullet"/>
      <w:lvlText w:val=""/>
      <w:lvlJc w:val="left"/>
      <w:pPr>
        <w:ind w:left="5607" w:hanging="360"/>
      </w:pPr>
      <w:rPr>
        <w:rFonts w:ascii="Symbol" w:hAnsi="Symbol" w:cs="Symbol" w:hint="default"/>
      </w:rPr>
    </w:lvl>
  </w:abstractNum>
  <w:abstractNum w:abstractNumId="20">
    <w:lvl w:ilvl="0">
      <w:start w:val="1"/>
      <w:numFmt w:val="decimal"/>
      <w:lvlText w:val="%1."/>
      <w:lvlJc w:val="left"/>
      <w:pPr>
        <w:ind w:left="463" w:hanging="360"/>
      </w:pPr>
      <w:rPr>
        <w:sz w:val="20"/>
        <w:b/>
        <w:szCs w:val="20"/>
        <w:rFonts w:ascii="Lexend" w:hAnsi="Lexend" w:eastAsia="Tahoma" w:cs="Tahoma"/>
        <w:color w:val="6F2FA0"/>
      </w:rPr>
    </w:lvl>
    <w:lvl w:ilvl="1">
      <w:start w:val="1"/>
      <w:numFmt w:val="bullet"/>
      <w:lvlText w:val="●"/>
      <w:lvlJc w:val="left"/>
      <w:pPr>
        <w:ind w:left="823" w:hanging="360"/>
      </w:pPr>
      <w:rPr>
        <w:rFonts w:ascii="Helvetica Neue" w:hAnsi="Helvetica Neue" w:cs="Helvetica Neue" w:hint="default"/>
        <w:sz w:val="20"/>
        <w:b/>
        <w:szCs w:val="20"/>
        <w:rFonts w:cs="Helvetica Neue"/>
        <w:color w:val="EC52C1"/>
      </w:rPr>
    </w:lvl>
    <w:lvl w:ilvl="2">
      <w:start w:val="1"/>
      <w:numFmt w:val="lowerLetter"/>
      <w:lvlText w:val="%3."/>
      <w:lvlJc w:val="left"/>
      <w:pPr>
        <w:ind w:left="1183" w:hanging="360"/>
      </w:pPr>
    </w:lvl>
    <w:lvl w:ilvl="3">
      <w:start w:val="1"/>
      <w:numFmt w:val="bullet"/>
      <w:lvlText w:val=""/>
      <w:lvlJc w:val="left"/>
      <w:pPr>
        <w:ind w:left="2187" w:hanging="360"/>
      </w:pPr>
      <w:rPr>
        <w:rFonts w:ascii="Symbol" w:hAnsi="Symbol" w:cs="Symbol" w:hint="default"/>
      </w:rPr>
    </w:lvl>
    <w:lvl w:ilvl="4">
      <w:start w:val="1"/>
      <w:numFmt w:val="bullet"/>
      <w:lvlText w:val=""/>
      <w:lvlJc w:val="left"/>
      <w:pPr>
        <w:ind w:left="2871" w:hanging="360"/>
      </w:pPr>
      <w:rPr>
        <w:rFonts w:ascii="Symbol" w:hAnsi="Symbol" w:cs="Symbol" w:hint="default"/>
      </w:rPr>
    </w:lvl>
    <w:lvl w:ilvl="5">
      <w:start w:val="1"/>
      <w:numFmt w:val="bullet"/>
      <w:lvlText w:val=""/>
      <w:lvlJc w:val="left"/>
      <w:pPr>
        <w:ind w:left="3555" w:hanging="360"/>
      </w:pPr>
      <w:rPr>
        <w:rFonts w:ascii="Symbol" w:hAnsi="Symbol" w:cs="Symbol" w:hint="default"/>
      </w:rPr>
    </w:lvl>
    <w:lvl w:ilvl="6">
      <w:start w:val="1"/>
      <w:numFmt w:val="bullet"/>
      <w:lvlText w:val=""/>
      <w:lvlJc w:val="left"/>
      <w:pPr>
        <w:ind w:left="4239" w:hanging="360"/>
      </w:pPr>
      <w:rPr>
        <w:rFonts w:ascii="Symbol" w:hAnsi="Symbol" w:cs="Symbol" w:hint="default"/>
      </w:rPr>
    </w:lvl>
    <w:lvl w:ilvl="7">
      <w:start w:val="1"/>
      <w:numFmt w:val="bullet"/>
      <w:lvlText w:val=""/>
      <w:lvlJc w:val="left"/>
      <w:pPr>
        <w:ind w:left="4923" w:hanging="360"/>
      </w:pPr>
      <w:rPr>
        <w:rFonts w:ascii="Symbol" w:hAnsi="Symbol" w:cs="Symbol" w:hint="default"/>
      </w:rPr>
    </w:lvl>
    <w:lvl w:ilvl="8">
      <w:start w:val="1"/>
      <w:numFmt w:val="bullet"/>
      <w:lvlText w:val=""/>
      <w:lvlJc w:val="left"/>
      <w:pPr>
        <w:ind w:left="5607" w:hanging="360"/>
      </w:pPr>
      <w:rPr>
        <w:rFonts w:ascii="Symbol" w:hAnsi="Symbol" w:cs="Symbol" w:hint="default"/>
      </w:rPr>
    </w:lvl>
  </w:abstractNum>
  <w:abstractNum w:abstractNumId="21">
    <w:lvl w:ilvl="0">
      <w:start w:val="1"/>
      <w:numFmt w:val="lowerLetter"/>
      <w:lvlText w:val="%1."/>
      <w:lvlJc w:val="left"/>
      <w:pPr>
        <w:ind w:left="941" w:hanging="360"/>
      </w:pPr>
      <w:rPr>
        <w:rFonts w:eastAsia="Lexend Light" w:cs="Lexend Light"/>
      </w:rPr>
    </w:lvl>
    <w:lvl w:ilvl="1">
      <w:start w:val="1"/>
      <w:numFmt w:val="lowerLetter"/>
      <w:lvlText w:val="%2."/>
      <w:lvlJc w:val="left"/>
      <w:pPr>
        <w:ind w:left="1661" w:hanging="360"/>
      </w:pPr>
    </w:lvl>
    <w:lvl w:ilvl="2">
      <w:start w:val="1"/>
      <w:numFmt w:val="lowerRoman"/>
      <w:lvlText w:val="%3."/>
      <w:lvlJc w:val="right"/>
      <w:pPr>
        <w:ind w:left="2381" w:hanging="180"/>
      </w:pPr>
    </w:lvl>
    <w:lvl w:ilvl="3">
      <w:start w:val="1"/>
      <w:numFmt w:val="decimal"/>
      <w:lvlText w:val="%4."/>
      <w:lvlJc w:val="left"/>
      <w:pPr>
        <w:ind w:left="3101" w:hanging="360"/>
      </w:pPr>
    </w:lvl>
    <w:lvl w:ilvl="4">
      <w:start w:val="1"/>
      <w:numFmt w:val="lowerLetter"/>
      <w:lvlText w:val="%5."/>
      <w:lvlJc w:val="left"/>
      <w:pPr>
        <w:ind w:left="3821" w:hanging="360"/>
      </w:pPr>
    </w:lvl>
    <w:lvl w:ilvl="5">
      <w:start w:val="1"/>
      <w:numFmt w:val="lowerRoman"/>
      <w:lvlText w:val="%6."/>
      <w:lvlJc w:val="right"/>
      <w:pPr>
        <w:ind w:left="4541" w:hanging="180"/>
      </w:pPr>
    </w:lvl>
    <w:lvl w:ilvl="6">
      <w:start w:val="1"/>
      <w:numFmt w:val="decimal"/>
      <w:lvlText w:val="%7."/>
      <w:lvlJc w:val="left"/>
      <w:pPr>
        <w:ind w:left="5261" w:hanging="360"/>
      </w:pPr>
    </w:lvl>
    <w:lvl w:ilvl="7">
      <w:start w:val="1"/>
      <w:numFmt w:val="lowerLetter"/>
      <w:lvlText w:val="%8."/>
      <w:lvlJc w:val="left"/>
      <w:pPr>
        <w:ind w:left="5981" w:hanging="360"/>
      </w:pPr>
    </w:lvl>
    <w:lvl w:ilvl="8">
      <w:start w:val="1"/>
      <w:numFmt w:val="lowerRoman"/>
      <w:lvlText w:val="%9."/>
      <w:lvlJc w:val="right"/>
      <w:pPr>
        <w:ind w:left="6701" w:hanging="180"/>
      </w:pPr>
    </w:lvl>
  </w:abstractNum>
  <w:abstractNum w:abstractNumId="22">
    <w:lvl w:ilvl="0">
      <w:start w:val="1"/>
      <w:numFmt w:val="lowerLetter"/>
      <w:lvlText w:val="%1."/>
      <w:lvlJc w:val="left"/>
      <w:pPr>
        <w:ind w:left="720" w:hanging="360"/>
      </w:pPr>
      <w:rPr>
        <w:rFonts w:ascii="Lexend Light" w:hAnsi="Lexend Light"/>
        <w:color w:val="ED4FD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w:hAnsi="Noto Sans" w:cs="Noto Sans" w:hint="default"/>
        <w:rFonts w:cs="Noto Sans"/>
      </w:rPr>
    </w:lvl>
    <w:lvl w:ilvl="3">
      <w:start w:val="1"/>
      <w:numFmt w:val="bullet"/>
      <w:lvlText w:val="●"/>
      <w:lvlJc w:val="left"/>
      <w:pPr>
        <w:ind w:left="2880" w:hanging="360"/>
      </w:pPr>
      <w:rPr>
        <w:rFonts w:ascii="Noto Sans" w:hAnsi="Noto Sans" w:cs="Noto Sans" w:hint="default"/>
        <w:rFonts w:cs="Noto San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w:hAnsi="Noto Sans" w:cs="Noto Sans" w:hint="default"/>
        <w:rFonts w:cs="Noto Sans"/>
      </w:rPr>
    </w:lvl>
    <w:lvl w:ilvl="6">
      <w:start w:val="1"/>
      <w:numFmt w:val="bullet"/>
      <w:lvlText w:val="●"/>
      <w:lvlJc w:val="left"/>
      <w:pPr>
        <w:ind w:left="5040" w:hanging="360"/>
      </w:pPr>
      <w:rPr>
        <w:rFonts w:ascii="Noto Sans" w:hAnsi="Noto Sans" w:cs="Noto Sans" w:hint="default"/>
        <w:rFonts w:cs="Noto San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w:hAnsi="Noto Sans" w:cs="Noto Sans" w:hint="default"/>
        <w:rFonts w:cs="Noto Sans"/>
      </w:rPr>
    </w:lvl>
  </w:abstractNum>
  <w:abstractNum w:abstractNumId="23">
    <w:lvl w:ilvl="0">
      <w:start w:val="8"/>
      <w:numFmt w:val="decimal"/>
      <w:lvlText w:val="%1."/>
      <w:lvlJc w:val="left"/>
      <w:pPr>
        <w:ind w:left="463" w:hanging="360"/>
      </w:pPr>
      <w:rPr>
        <w:sz w:val="20"/>
        <w:b/>
        <w:szCs w:val="20"/>
        <w:rFonts w:eastAsia="Tahoma" w:cs="Tahoma"/>
        <w:color w:val="6F2FA0"/>
      </w:rPr>
    </w:lvl>
    <w:lvl w:ilvl="1">
      <w:start w:val="1"/>
      <w:numFmt w:val="bullet"/>
      <w:lvlText w:val="●"/>
      <w:lvlJc w:val="left"/>
      <w:pPr>
        <w:ind w:left="823" w:hanging="360"/>
      </w:pPr>
      <w:rPr>
        <w:rFonts w:ascii="Helvetica Neue" w:hAnsi="Helvetica Neue" w:cs="Helvetica Neue" w:hint="default"/>
        <w:sz w:val="20"/>
        <w:szCs w:val="20"/>
        <w:rFonts w:cs="Helvetica Neue"/>
        <w:color w:val="F150D4"/>
      </w:rPr>
    </w:lvl>
    <w:lvl w:ilvl="2">
      <w:start w:val="1"/>
      <w:numFmt w:val="bullet"/>
      <w:lvlText w:val=""/>
      <w:lvlJc w:val="left"/>
      <w:pPr>
        <w:ind w:left="1503" w:hanging="360"/>
      </w:pPr>
      <w:rPr>
        <w:rFonts w:ascii="Symbol" w:hAnsi="Symbol" w:cs="Symbol" w:hint="default"/>
      </w:rPr>
    </w:lvl>
    <w:lvl w:ilvl="3">
      <w:start w:val="1"/>
      <w:numFmt w:val="bullet"/>
      <w:lvlText w:val=""/>
      <w:lvlJc w:val="left"/>
      <w:pPr>
        <w:ind w:left="2187" w:hanging="360"/>
      </w:pPr>
      <w:rPr>
        <w:rFonts w:ascii="Symbol" w:hAnsi="Symbol" w:cs="Symbol" w:hint="default"/>
      </w:rPr>
    </w:lvl>
    <w:lvl w:ilvl="4">
      <w:start w:val="1"/>
      <w:numFmt w:val="bullet"/>
      <w:lvlText w:val=""/>
      <w:lvlJc w:val="left"/>
      <w:pPr>
        <w:ind w:left="2871" w:hanging="360"/>
      </w:pPr>
      <w:rPr>
        <w:rFonts w:ascii="Symbol" w:hAnsi="Symbol" w:cs="Symbol" w:hint="default"/>
      </w:rPr>
    </w:lvl>
    <w:lvl w:ilvl="5">
      <w:start w:val="1"/>
      <w:numFmt w:val="bullet"/>
      <w:lvlText w:val=""/>
      <w:lvlJc w:val="left"/>
      <w:pPr>
        <w:ind w:left="3555" w:hanging="360"/>
      </w:pPr>
      <w:rPr>
        <w:rFonts w:ascii="Symbol" w:hAnsi="Symbol" w:cs="Symbol" w:hint="default"/>
      </w:rPr>
    </w:lvl>
    <w:lvl w:ilvl="6">
      <w:start w:val="1"/>
      <w:numFmt w:val="bullet"/>
      <w:lvlText w:val=""/>
      <w:lvlJc w:val="left"/>
      <w:pPr>
        <w:ind w:left="4239" w:hanging="360"/>
      </w:pPr>
      <w:rPr>
        <w:rFonts w:ascii="Symbol" w:hAnsi="Symbol" w:cs="Symbol" w:hint="default"/>
      </w:rPr>
    </w:lvl>
    <w:lvl w:ilvl="7">
      <w:start w:val="1"/>
      <w:numFmt w:val="bullet"/>
      <w:lvlText w:val=""/>
      <w:lvlJc w:val="left"/>
      <w:pPr>
        <w:ind w:left="4923" w:hanging="360"/>
      </w:pPr>
      <w:rPr>
        <w:rFonts w:ascii="Symbol" w:hAnsi="Symbol" w:cs="Symbol" w:hint="default"/>
      </w:rPr>
    </w:lvl>
    <w:lvl w:ilvl="8">
      <w:start w:val="1"/>
      <w:numFmt w:val="bullet"/>
      <w:lvlText w:val=""/>
      <w:lvlJc w:val="left"/>
      <w:pPr>
        <w:ind w:left="5607" w:hanging="360"/>
      </w:pPr>
      <w:rPr>
        <w:rFonts w:ascii="Symbol" w:hAnsi="Symbol" w:cs="Symbol" w:hint="default"/>
      </w:rPr>
    </w:lvl>
  </w:abstractNum>
  <w:abstractNum w:abstractNumId="24">
    <w:lvl w:ilvl="0">
      <w:start w:val="1"/>
      <w:numFmt w:val="lowerLetter"/>
      <w:lvlText w:val="%1."/>
      <w:lvlJc w:val="left"/>
      <w:pPr>
        <w:ind w:left="1183" w:hanging="360"/>
      </w:pPr>
      <w:rPr>
        <w:b w:val="false"/>
        <w:rFonts w:ascii="Lexend" w:hAnsi="Lexend" w:eastAsia="Arial" w:cs="Arial"/>
        <w:color w:val="EC52C1"/>
      </w:rPr>
    </w:lvl>
    <w:lvl w:ilvl="1">
      <w:start w:val="1"/>
      <w:numFmt w:val="lowerLetter"/>
      <w:lvlText w:val="%2."/>
      <w:lvlJc w:val="left"/>
      <w:pPr>
        <w:ind w:left="1903" w:hanging="360"/>
      </w:pPr>
    </w:lvl>
    <w:lvl w:ilvl="2">
      <w:start w:val="1"/>
      <w:numFmt w:val="lowerRoman"/>
      <w:lvlText w:val="%3."/>
      <w:lvlJc w:val="right"/>
      <w:pPr>
        <w:ind w:left="2623" w:hanging="180"/>
      </w:pPr>
    </w:lvl>
    <w:lvl w:ilvl="3">
      <w:start w:val="1"/>
      <w:numFmt w:val="decimal"/>
      <w:lvlText w:val="%4."/>
      <w:lvlJc w:val="left"/>
      <w:pPr>
        <w:ind w:left="3343" w:hanging="360"/>
      </w:pPr>
    </w:lvl>
    <w:lvl w:ilvl="4">
      <w:start w:val="1"/>
      <w:numFmt w:val="lowerLetter"/>
      <w:lvlText w:val="%5."/>
      <w:lvlJc w:val="left"/>
      <w:pPr>
        <w:ind w:left="4063" w:hanging="360"/>
      </w:pPr>
    </w:lvl>
    <w:lvl w:ilvl="5">
      <w:start w:val="1"/>
      <w:numFmt w:val="lowerRoman"/>
      <w:lvlText w:val="%6."/>
      <w:lvlJc w:val="right"/>
      <w:pPr>
        <w:ind w:left="4783" w:hanging="180"/>
      </w:pPr>
    </w:lvl>
    <w:lvl w:ilvl="6">
      <w:start w:val="1"/>
      <w:numFmt w:val="decimal"/>
      <w:lvlText w:val="%7."/>
      <w:lvlJc w:val="left"/>
      <w:pPr>
        <w:ind w:left="5503" w:hanging="360"/>
      </w:pPr>
    </w:lvl>
    <w:lvl w:ilvl="7">
      <w:start w:val="1"/>
      <w:numFmt w:val="lowerLetter"/>
      <w:lvlText w:val="%8."/>
      <w:lvlJc w:val="left"/>
      <w:pPr>
        <w:ind w:left="6223" w:hanging="360"/>
      </w:pPr>
    </w:lvl>
    <w:lvl w:ilvl="8">
      <w:start w:val="1"/>
      <w:numFmt w:val="lowerRoman"/>
      <w:lvlText w:val="%9."/>
      <w:lvlJc w:val="right"/>
      <w:pPr>
        <w:ind w:left="6943" w:hanging="180"/>
      </w:pPr>
    </w:lvl>
  </w:abstractNum>
  <w:abstractNum w:abstractNumId="25">
    <w:lvl w:ilvl="0">
      <w:start w:val="1"/>
      <w:numFmt w:val="decimal"/>
      <w:lvlText w:val="%1."/>
      <w:lvlJc w:val="left"/>
      <w:pPr>
        <w:ind w:left="581" w:hanging="360"/>
      </w:pPr>
    </w:lvl>
    <w:lvl w:ilvl="1">
      <w:start w:val="1"/>
      <w:numFmt w:val="lowerLetter"/>
      <w:lvlText w:val="%2."/>
      <w:lvlJc w:val="left"/>
      <w:pPr>
        <w:ind w:left="1301" w:hanging="360"/>
      </w:pPr>
    </w:lvl>
    <w:lvl w:ilvl="2">
      <w:start w:val="1"/>
      <w:numFmt w:val="lowerRoman"/>
      <w:lvlText w:val="%3."/>
      <w:lvlJc w:val="right"/>
      <w:pPr>
        <w:ind w:left="2021" w:hanging="180"/>
      </w:pPr>
    </w:lvl>
    <w:lvl w:ilvl="3">
      <w:start w:val="1"/>
      <w:numFmt w:val="decimal"/>
      <w:lvlText w:val="%4."/>
      <w:lvlJc w:val="left"/>
      <w:pPr>
        <w:ind w:left="2741" w:hanging="360"/>
      </w:pPr>
    </w:lvl>
    <w:lvl w:ilvl="4">
      <w:start w:val="1"/>
      <w:numFmt w:val="lowerLetter"/>
      <w:lvlText w:val="%5."/>
      <w:lvlJc w:val="left"/>
      <w:pPr>
        <w:ind w:left="3461" w:hanging="360"/>
      </w:pPr>
    </w:lvl>
    <w:lvl w:ilvl="5">
      <w:start w:val="1"/>
      <w:numFmt w:val="lowerRoman"/>
      <w:lvlText w:val="%6."/>
      <w:lvlJc w:val="right"/>
      <w:pPr>
        <w:ind w:left="4181" w:hanging="180"/>
      </w:pPr>
    </w:lvl>
    <w:lvl w:ilvl="6">
      <w:start w:val="1"/>
      <w:numFmt w:val="decimal"/>
      <w:lvlText w:val="%7."/>
      <w:lvlJc w:val="left"/>
      <w:pPr>
        <w:ind w:left="4901" w:hanging="360"/>
      </w:pPr>
    </w:lvl>
    <w:lvl w:ilvl="7">
      <w:start w:val="1"/>
      <w:numFmt w:val="lowerLetter"/>
      <w:lvlText w:val="%8."/>
      <w:lvlJc w:val="left"/>
      <w:pPr>
        <w:ind w:left="5621" w:hanging="360"/>
      </w:pPr>
    </w:lvl>
    <w:lvl w:ilvl="8">
      <w:start w:val="1"/>
      <w:numFmt w:val="lowerRoman"/>
      <w:lvlText w:val="%9."/>
      <w:lvlJc w:val="right"/>
      <w:pPr>
        <w:ind w:left="6341" w:hanging="180"/>
      </w:pPr>
    </w:lvl>
  </w:abstractNum>
  <w:abstractNum w:abstractNumId="26">
    <w:lvl w:ilvl="0">
      <w:start w:val="1"/>
      <w:numFmt w:val="bullet"/>
      <w:lvlText w:val="●"/>
      <w:lvlJc w:val="left"/>
      <w:pPr>
        <w:ind w:left="720" w:hanging="360"/>
      </w:pPr>
      <w:rPr>
        <w:rFonts w:ascii="Noto Sans" w:hAnsi="Noto Sans" w:cs="Noto Sans" w:hint="default"/>
        <w:rFonts w:cs="Noto Sans"/>
        <w:color w:val="ED4FD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w:hAnsi="Noto Sans" w:cs="Noto Sans" w:hint="default"/>
        <w:rFonts w:cs="Noto Sans"/>
      </w:rPr>
    </w:lvl>
    <w:lvl w:ilvl="3">
      <w:start w:val="1"/>
      <w:numFmt w:val="bullet"/>
      <w:lvlText w:val="●"/>
      <w:lvlJc w:val="left"/>
      <w:pPr>
        <w:ind w:left="2880" w:hanging="360"/>
      </w:pPr>
      <w:rPr>
        <w:rFonts w:ascii="Noto Sans" w:hAnsi="Noto Sans" w:cs="Noto Sans" w:hint="default"/>
        <w:rFonts w:cs="Noto San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w:hAnsi="Noto Sans" w:cs="Noto Sans" w:hint="default"/>
        <w:rFonts w:cs="Noto Sans"/>
      </w:rPr>
    </w:lvl>
    <w:lvl w:ilvl="6">
      <w:start w:val="1"/>
      <w:numFmt w:val="bullet"/>
      <w:lvlText w:val="●"/>
      <w:lvlJc w:val="left"/>
      <w:pPr>
        <w:ind w:left="5040" w:hanging="360"/>
      </w:pPr>
      <w:rPr>
        <w:rFonts w:ascii="Noto Sans" w:hAnsi="Noto Sans" w:cs="Noto Sans" w:hint="default"/>
        <w:rFonts w:cs="Noto San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w:hAnsi="Noto Sans" w:cs="Noto Sans" w:hint="default"/>
        <w:rFonts w:cs="Noto Sans"/>
      </w:rPr>
    </w:lvl>
  </w:abstractNum>
  <w:abstractNum w:abstractNumId="27">
    <w:lvl w:ilvl="0">
      <w:start w:val="1"/>
      <w:numFmt w:val="decimal"/>
      <w:lvlText w:val="%1."/>
      <w:lvlJc w:val="left"/>
      <w:pPr>
        <w:ind w:left="581" w:hanging="360"/>
      </w:pPr>
      <w:rPr>
        <w:b/>
        <w:rFonts w:eastAsia="Lexend" w:cs="Lexend"/>
        <w:color w:val="EC52C1"/>
      </w:rPr>
    </w:lvl>
    <w:lvl w:ilvl="1">
      <w:start w:val="1"/>
      <w:numFmt w:val="lowerLetter"/>
      <w:lvlText w:val="%2."/>
      <w:lvlJc w:val="left"/>
      <w:pPr>
        <w:ind w:left="1301" w:hanging="360"/>
      </w:pPr>
    </w:lvl>
    <w:lvl w:ilvl="2">
      <w:start w:val="1"/>
      <w:numFmt w:val="lowerRoman"/>
      <w:lvlText w:val="%3."/>
      <w:lvlJc w:val="right"/>
      <w:pPr>
        <w:ind w:left="2021" w:hanging="180"/>
      </w:pPr>
    </w:lvl>
    <w:lvl w:ilvl="3">
      <w:start w:val="1"/>
      <w:numFmt w:val="decimal"/>
      <w:lvlText w:val="%4."/>
      <w:lvlJc w:val="left"/>
      <w:pPr>
        <w:ind w:left="2741" w:hanging="360"/>
      </w:pPr>
    </w:lvl>
    <w:lvl w:ilvl="4">
      <w:start w:val="1"/>
      <w:numFmt w:val="lowerLetter"/>
      <w:lvlText w:val="%5."/>
      <w:lvlJc w:val="left"/>
      <w:pPr>
        <w:ind w:left="3461" w:hanging="360"/>
      </w:pPr>
    </w:lvl>
    <w:lvl w:ilvl="5">
      <w:start w:val="1"/>
      <w:numFmt w:val="lowerRoman"/>
      <w:lvlText w:val="%6."/>
      <w:lvlJc w:val="right"/>
      <w:pPr>
        <w:ind w:left="4181" w:hanging="180"/>
      </w:pPr>
    </w:lvl>
    <w:lvl w:ilvl="6">
      <w:start w:val="1"/>
      <w:numFmt w:val="decimal"/>
      <w:lvlText w:val="%7."/>
      <w:lvlJc w:val="left"/>
      <w:pPr>
        <w:ind w:left="4901" w:hanging="360"/>
      </w:pPr>
    </w:lvl>
    <w:lvl w:ilvl="7">
      <w:start w:val="1"/>
      <w:numFmt w:val="lowerLetter"/>
      <w:lvlText w:val="%8."/>
      <w:lvlJc w:val="left"/>
      <w:pPr>
        <w:ind w:left="5621" w:hanging="360"/>
      </w:pPr>
    </w:lvl>
    <w:lvl w:ilvl="8">
      <w:start w:val="1"/>
      <w:numFmt w:val="lowerRoman"/>
      <w:lvlText w:val="%9."/>
      <w:lvlJc w:val="right"/>
      <w:pPr>
        <w:ind w:left="6341" w:hanging="180"/>
      </w:pPr>
    </w:lvl>
  </w:abstractNum>
  <w:abstractNum w:abstractNumId="2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5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Verdana"/>
        <w:sz w:val="22"/>
        <w:szCs w:val="22"/>
        <w:lang w:val="es-CO" w:eastAsia="es-MX"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Verdana" w:hAnsi="Verdana" w:eastAsia="Verdana" w:cs="Verdana"/>
      <w:color w:val="auto"/>
      <w:kern w:val="0"/>
      <w:sz w:val="22"/>
      <w:szCs w:val="22"/>
      <w:lang w:val="es-CO" w:eastAsia="es-MX" w:bidi="ar-SA"/>
    </w:rPr>
  </w:style>
  <w:style w:type="paragraph" w:styleId="Ttulo1">
    <w:name w:val="Heading 1"/>
    <w:basedOn w:val="Normal"/>
    <w:uiPriority w:val="9"/>
    <w:qFormat/>
    <w:pPr>
      <w:spacing w:before="100" w:after="0"/>
      <w:ind w:left="641" w:hanging="420"/>
      <w:outlineLvl w:val="0"/>
    </w:pPr>
    <w:rPr>
      <w:rFonts w:ascii="Tahoma" w:hAnsi="Tahoma" w:eastAsia="Tahoma" w:cs="Tahoma"/>
      <w:b/>
      <w:bCs/>
      <w:sz w:val="32"/>
      <w:szCs w:val="32"/>
      <w:lang w:val="es-ES"/>
    </w:rPr>
  </w:style>
  <w:style w:type="paragraph" w:styleId="Ttulo2">
    <w:name w:val="Heading 2"/>
    <w:basedOn w:val="Normal"/>
    <w:uiPriority w:val="9"/>
    <w:unhideWhenUsed/>
    <w:qFormat/>
    <w:pPr>
      <w:spacing w:before="100" w:after="0"/>
      <w:ind w:left="1016" w:hanging="735"/>
      <w:outlineLvl w:val="1"/>
    </w:pPr>
    <w:rPr>
      <w:rFonts w:ascii="Tahoma" w:hAnsi="Tahoma" w:eastAsia="Tahoma" w:cs="Tahoma"/>
      <w:b/>
      <w:bCs/>
      <w:sz w:val="28"/>
      <w:szCs w:val="28"/>
      <w:lang w:val="es-ES"/>
    </w:rPr>
  </w:style>
  <w:style w:type="paragraph" w:styleId="Ttulo3">
    <w:name w:val="Heading 3"/>
    <w:basedOn w:val="Normal"/>
    <w:uiPriority w:val="9"/>
    <w:unhideWhenUsed/>
    <w:qFormat/>
    <w:pPr>
      <w:spacing w:before="206" w:after="0"/>
      <w:ind w:left="221" w:hanging="0"/>
      <w:outlineLvl w:val="2"/>
    </w:pPr>
    <w:rPr>
      <w:rFonts w:ascii="Tahoma" w:hAnsi="Tahoma" w:eastAsia="Tahoma" w:cs="Tahoma"/>
      <w:b/>
      <w:bCs/>
      <w:sz w:val="24"/>
      <w:szCs w:val="24"/>
      <w:lang w:val="es-ES"/>
    </w:rPr>
  </w:style>
  <w:style w:type="paragraph" w:styleId="Ttulo4">
    <w:name w:val="Heading 4"/>
    <w:basedOn w:val="Normal"/>
    <w:uiPriority w:val="9"/>
    <w:unhideWhenUsed/>
    <w:qFormat/>
    <w:pPr>
      <w:spacing w:before="8" w:after="0"/>
      <w:ind w:left="1112" w:right="1290" w:hanging="0"/>
      <w:jc w:val="center"/>
      <w:outlineLvl w:val="3"/>
    </w:pPr>
    <w:rPr>
      <w:sz w:val="24"/>
      <w:szCs w:val="24"/>
      <w:lang w:val="es-ES"/>
    </w:rPr>
  </w:style>
  <w:style w:type="paragraph" w:styleId="Ttulo5">
    <w:name w:val="Heading 5"/>
    <w:basedOn w:val="Normal"/>
    <w:uiPriority w:val="9"/>
    <w:unhideWhenUsed/>
    <w:qFormat/>
    <w:pPr>
      <w:spacing w:before="3" w:after="0"/>
      <w:ind w:left="581" w:hanging="360"/>
      <w:outlineLvl w:val="4"/>
    </w:pPr>
    <w:rPr>
      <w:rFonts w:ascii="Tahoma" w:hAnsi="Tahoma" w:eastAsia="Tahoma" w:cs="Tahoma"/>
      <w:b/>
      <w:bCs/>
      <w:lang w:val="es-ES"/>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d04952"/>
    <w:rPr>
      <w:color w:val="0000FF" w:themeColor="hyperlink"/>
      <w:u w:val="single"/>
    </w:rPr>
  </w:style>
  <w:style w:type="character" w:styleId="UnresolvedMention">
    <w:name w:val="Unresolved Mention"/>
    <w:basedOn w:val="DefaultParagraphFont"/>
    <w:uiPriority w:val="99"/>
    <w:semiHidden/>
    <w:unhideWhenUsed/>
    <w:qFormat/>
    <w:rsid w:val="00d04952"/>
    <w:rPr>
      <w:color w:val="605E5C"/>
      <w:shd w:fill="E1DFDD" w:val="clear"/>
    </w:rPr>
  </w:style>
  <w:style w:type="character" w:styleId="TextocomentarioCar" w:customStyle="1">
    <w:name w:val="Texto comentario Car"/>
    <w:basedOn w:val="DefaultParagraphFont"/>
    <w:link w:val="Textocomentario"/>
    <w:uiPriority w:val="99"/>
    <w:qFormat/>
    <w:rsid w:val="00134db6"/>
    <w:rPr>
      <w:rFonts w:ascii="Calibri" w:hAnsi="Calibri" w:eastAsia="Calibri" w:cs="Calibri"/>
      <w:sz w:val="20"/>
      <w:szCs w:val="20"/>
      <w:lang w:val="es-CO" w:eastAsia="es-MX"/>
    </w:rPr>
  </w:style>
  <w:style w:type="character" w:styleId="Annotationreference">
    <w:name w:val="annotation reference"/>
    <w:basedOn w:val="DefaultParagraphFont"/>
    <w:uiPriority w:val="99"/>
    <w:semiHidden/>
    <w:unhideWhenUsed/>
    <w:qFormat/>
    <w:rsid w:val="00134db6"/>
    <w:rPr>
      <w:sz w:val="16"/>
      <w:szCs w:val="16"/>
    </w:rPr>
  </w:style>
  <w:style w:type="character" w:styleId="AsuntodelcomentarioCar" w:customStyle="1">
    <w:name w:val="Asunto del comentario Car"/>
    <w:basedOn w:val="TextocomentarioCar"/>
    <w:link w:val="Asuntodelcomentario"/>
    <w:uiPriority w:val="99"/>
    <w:semiHidden/>
    <w:qFormat/>
    <w:rsid w:val="00b73b08"/>
    <w:rPr>
      <w:rFonts w:ascii="Verdana" w:hAnsi="Verdana" w:eastAsia="Verdana" w:cs="Verdana"/>
      <w:b/>
      <w:bCs/>
      <w:sz w:val="20"/>
      <w:szCs w:val="20"/>
      <w:lang w:val="es-CO" w:eastAsia="es-MX"/>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uiPriority w:val="1"/>
    <w:qFormat/>
    <w:pPr/>
    <w:rPr>
      <w:lang w:val="es-ES"/>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ular">
    <w:name w:val="Title"/>
    <w:basedOn w:val="Normal"/>
    <w:next w:val="Normal"/>
    <w:uiPriority w:val="10"/>
    <w:qFormat/>
    <w:pPr>
      <w:keepNext w:val="true"/>
      <w:keepLines/>
      <w:spacing w:before="480" w:after="120"/>
    </w:pPr>
    <w:rPr>
      <w:b/>
      <w:sz w:val="72"/>
      <w:szCs w:val="72"/>
    </w:rPr>
  </w:style>
  <w:style w:type="paragraph" w:styleId="ListParagraph">
    <w:name w:val="List Paragraph"/>
    <w:basedOn w:val="Normal"/>
    <w:uiPriority w:val="1"/>
    <w:qFormat/>
    <w:pPr>
      <w:spacing w:before="242" w:after="0"/>
      <w:ind w:left="581" w:hanging="360"/>
      <w:jc w:val="both"/>
    </w:pPr>
    <w:rPr>
      <w:lang w:val="es-ES"/>
    </w:rPr>
  </w:style>
  <w:style w:type="paragraph" w:styleId="TableParagraph" w:customStyle="1">
    <w:name w:val="Table Paragraph"/>
    <w:basedOn w:val="Normal"/>
    <w:uiPriority w:val="1"/>
    <w:qFormat/>
    <w:pPr/>
    <w:rPr>
      <w:lang w:val="es-ES"/>
    </w:rPr>
  </w:style>
  <w:style w:type="paragraph" w:styleId="Annotationtext">
    <w:name w:val="annotation text"/>
    <w:basedOn w:val="Normal"/>
    <w:link w:val="TextocomentarioCar"/>
    <w:uiPriority w:val="99"/>
    <w:unhideWhenUsed/>
    <w:qFormat/>
    <w:rsid w:val="00134db6"/>
    <w:pPr>
      <w:widowControl/>
      <w:spacing w:before="0" w:after="160"/>
    </w:pPr>
    <w:rPr>
      <w:rFonts w:ascii="Calibri" w:hAnsi="Calibri" w:eastAsia="Calibri" w:cs="Calibri"/>
      <w:sz w:val="20"/>
      <w:szCs w:val="20"/>
    </w:rPr>
  </w:style>
  <w:style w:type="paragraph" w:styleId="NormalWeb">
    <w:name w:val="Normal (Web)"/>
    <w:basedOn w:val="Normal"/>
    <w:uiPriority w:val="99"/>
    <w:unhideWhenUsed/>
    <w:qFormat/>
    <w:rsid w:val="008850ec"/>
    <w:pPr>
      <w:widowControl/>
      <w:spacing w:beforeAutospacing="1" w:afterAutospacing="1"/>
    </w:pPr>
    <w:rPr>
      <w:rFonts w:ascii="Times New Roman" w:hAnsi="Times New Roman" w:eastAsia="Times New Roman" w:cs="Times New Roman"/>
      <w:sz w:val="24"/>
      <w:szCs w:val="24"/>
    </w:rPr>
  </w:style>
  <w:style w:type="paragraph" w:styleId="Revision">
    <w:name w:val="Revision"/>
    <w:uiPriority w:val="99"/>
    <w:semiHidden/>
    <w:qFormat/>
    <w:rsid w:val="005e0d72"/>
    <w:pPr>
      <w:widowControl/>
      <w:bidi w:val="0"/>
      <w:spacing w:before="0" w:after="0"/>
      <w:jc w:val="left"/>
    </w:pPr>
    <w:rPr>
      <w:rFonts w:ascii="Verdana" w:hAnsi="Verdana" w:eastAsia="Verdana" w:cs="Verdana"/>
      <w:color w:val="auto"/>
      <w:kern w:val="0"/>
      <w:sz w:val="22"/>
      <w:szCs w:val="22"/>
      <w:lang w:val="es-CO" w:eastAsia="es-MX" w:bidi="ar-SA"/>
    </w:rPr>
  </w:style>
  <w:style w:type="paragraph" w:styleId="Annotationsubject">
    <w:name w:val="annotation subject"/>
    <w:basedOn w:val="Annotationtext"/>
    <w:next w:val="Annotationtext"/>
    <w:link w:val="AsuntodelcomentarioCar"/>
    <w:uiPriority w:val="99"/>
    <w:semiHidden/>
    <w:unhideWhenUsed/>
    <w:qFormat/>
    <w:rsid w:val="00b73b08"/>
    <w:pPr>
      <w:widowControl w:val="false"/>
      <w:spacing w:before="0" w:after="0"/>
    </w:pPr>
    <w:rPr>
      <w:rFonts w:ascii="Verdana" w:hAnsi="Verdana" w:eastAsia="Verdana" w:cs="Verdana"/>
      <w:b/>
      <w:bCs/>
      <w:lang w:eastAsia="en-US"/>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Piedepgina">
    <w:name w:val="Footer"/>
    <w:basedOn w:val="Cabeceraypie"/>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numbering" w:styleId="Listaactual26" w:customStyle="1">
    <w:name w:val="Lista actual26"/>
    <w:uiPriority w:val="99"/>
    <w:qFormat/>
    <w:rsid w:val="006b429e"/>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image" Target="media/image1.png"/><Relationship Id="rId13" Type="http://schemas.openxmlformats.org/officeDocument/2006/relationships/hyperlink" Target="http://sicon.scrd.gov.co/admin_SCRD_pv/index.html" TargetMode="External"/><Relationship Id="rId14" Type="http://schemas.openxmlformats.org/officeDocument/2006/relationships/image" Target="media/image2.png"/><Relationship Id="rId15" Type="http://schemas.openxmlformats.org/officeDocument/2006/relationships/hyperlink" Target="mailto:convocatorias@scrd.gov.co" TargetMode="External"/><Relationship Id="rId16" Type="http://schemas.openxmlformats.org/officeDocument/2006/relationships/hyperlink" Target="mailto:convocatorias@scrd.gov.co" TargetMode="External"/><Relationship Id="rId17" Type="http://schemas.openxmlformats.org/officeDocument/2006/relationships/hyperlink" Target="mailto:convocatorias@scrd.gov.co" TargetMode="Externa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hyperlink" Target="mailto:convocatorias@scrd.gov.co" TargetMode="External"/><Relationship Id="rId21" Type="http://schemas.openxmlformats.org/officeDocument/2006/relationships/hyperlink" Target="mailto:convocatorias@scrd.gov.co" TargetMode="External"/><Relationship Id="rId22" Type="http://schemas.openxmlformats.org/officeDocument/2006/relationships/hyperlink" Target="mailto:convocatorias@scrd.gov.co" TargetMode="External"/><Relationship Id="rId23" Type="http://schemas.openxmlformats.org/officeDocument/2006/relationships/hyperlink" Target="mailto:convocatorias@scrd.gov.co" TargetMode="External"/><Relationship Id="rId24" Type="http://schemas.openxmlformats.org/officeDocument/2006/relationships/hyperlink" Target="mailto:convocatorias@scrd.gov.co" TargetMode="External"/><Relationship Id="rId25" Type="http://schemas.openxmlformats.org/officeDocument/2006/relationships/header" Target="header6.xml"/><Relationship Id="rId26" Type="http://schemas.openxmlformats.org/officeDocument/2006/relationships/footer" Target="footer8.xml"/><Relationship Id="rId27" Type="http://schemas.openxmlformats.org/officeDocument/2006/relationships/hyperlink" Target="mailto:convocatorias@scrd.gov.co" TargetMode="External"/><Relationship Id="rId28" Type="http://schemas.openxmlformats.org/officeDocument/2006/relationships/header" Target="header7.xml"/><Relationship Id="rId29" Type="http://schemas.openxmlformats.org/officeDocument/2006/relationships/footer" Target="footer9.xml"/><Relationship Id="rId30" Type="http://schemas.openxmlformats.org/officeDocument/2006/relationships/header" Target="header8.xml"/><Relationship Id="rId31" Type="http://schemas.openxmlformats.org/officeDocument/2006/relationships/footer" Target="footer10.xml"/><Relationship Id="rId32" Type="http://schemas.openxmlformats.org/officeDocument/2006/relationships/header" Target="header9.xml"/><Relationship Id="rId33" Type="http://schemas.openxmlformats.org/officeDocument/2006/relationships/footer" Target="footer11.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xQ+UjsiZBMxGIHlRuw1lQ+Jftog==">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LibreOffice/6.3.6.2$Windows_X86_64 LibreOffice_project/2196df99b074d8a661f4036fca8fa0cbfa33a497</Application>
  <Pages>65</Pages>
  <Words>14605</Words>
  <Characters>80330</Characters>
  <CharactersWithSpaces>94746</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2024-02-13T16:19:00Z</dcterms:created>
  <dc:creator/>
  <dc:description/>
  <dc:language>es-CO</dc:language>
  <cp:lastModifiedBy>Liliana Marcela Pamplona Romero</cp:lastModifiedBy>
  <dcterms:modified xsi:type="dcterms:W3CDTF">2024-08-30T20:18:00Z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